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5D3" w:rsidRPr="006D7943" w:rsidRDefault="00A625D3" w:rsidP="00A625D3">
      <w:pPr>
        <w:jc w:val="both"/>
        <w:rPr>
          <w:rFonts w:ascii="Tahoma" w:hAnsi="Tahoma" w:cs="Tahoma"/>
          <w:sz w:val="18"/>
          <w:szCs w:val="18"/>
          <w:u w:color="FF0000"/>
        </w:rPr>
      </w:pPr>
      <w:bookmarkStart w:id="0" w:name="_GoBack"/>
      <w:bookmarkEnd w:id="0"/>
      <w:r w:rsidRPr="006D7943">
        <w:rPr>
          <w:rFonts w:ascii="Tahoma" w:hAnsi="Tahoma" w:cs="Tahoma"/>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A625D3" w:rsidRPr="006D7943" w:rsidRDefault="00A625D3" w:rsidP="00A625D3">
      <w:pPr>
        <w:pStyle w:val="testo"/>
        <w:rPr>
          <w:rFonts w:ascii="Tahoma" w:hAnsi="Tahoma" w:cs="Tahoma"/>
          <w:sz w:val="18"/>
          <w:szCs w:val="18"/>
          <w:u w:color="FF0000"/>
        </w:rPr>
      </w:pP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P R E M E S S A</w:t>
      </w:r>
    </w:p>
    <w:p w:rsidR="00A625D3" w:rsidRPr="006D7943" w:rsidRDefault="00A625D3" w:rsidP="00A625D3">
      <w:pPr>
        <w:pStyle w:val="testo"/>
        <w:rPr>
          <w:rFonts w:ascii="Tahoma" w:hAnsi="Tahoma" w:cs="Tahoma"/>
          <w:sz w:val="18"/>
          <w:szCs w:val="18"/>
          <w:u w:color="FF0000"/>
        </w:rPr>
      </w:pP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Ai fini dell’attribuzione del punteggio per le domande di trasferimento, per le domande di passaggio di ruolo e per l’individuazione del perdente posto si precisa quanto segue:</w:t>
      </w:r>
    </w:p>
    <w:p w:rsidR="00A625D3" w:rsidRPr="006D7943" w:rsidRDefault="00A625D3" w:rsidP="00A625D3">
      <w:pPr>
        <w:pStyle w:val="testo"/>
        <w:rPr>
          <w:rFonts w:ascii="Tahoma" w:hAnsi="Tahoma" w:cs="Tahoma"/>
          <w:sz w:val="18"/>
          <w:szCs w:val="18"/>
          <w:u w:color="FF0000"/>
        </w:rPr>
      </w:pPr>
      <w:r w:rsidRPr="006D7943">
        <w:rPr>
          <w:rFonts w:ascii="Tahoma" w:hAnsi="Tahoma" w:cs="Tahoma"/>
          <w:sz w:val="18"/>
          <w:szCs w:val="18"/>
          <w:u w:color="FF0000"/>
        </w:rPr>
        <w:t>- nell’anzianità di servizio non si tiene conto dell’anno scolastico in corso;</w:t>
      </w:r>
    </w:p>
    <w:p w:rsidR="00A625D3" w:rsidRPr="006D7943" w:rsidRDefault="00A625D3" w:rsidP="00A625D3">
      <w:pPr>
        <w:pStyle w:val="testo"/>
        <w:rPr>
          <w:rFonts w:ascii="Tahoma" w:hAnsi="Tahoma" w:cs="Tahoma"/>
          <w:sz w:val="18"/>
          <w:szCs w:val="18"/>
          <w:u w:color="FF0000"/>
        </w:rPr>
      </w:pPr>
      <w:r w:rsidRPr="006D7943">
        <w:rPr>
          <w:rFonts w:ascii="Tahoma" w:hAnsi="Tahoma" w:cs="Tahoma"/>
          <w:sz w:val="18"/>
          <w:szCs w:val="18"/>
          <w:u w:color="FF0000"/>
        </w:rPr>
        <w:t>- nella valutazione dei titoli vengono considerati quelli posseduti entro il termine previsto per la presentazione delle domande dall’annuale O.M.;</w:t>
      </w:r>
    </w:p>
    <w:p w:rsidR="00A625D3" w:rsidRPr="006D7943" w:rsidRDefault="00A625D3" w:rsidP="00A625D3">
      <w:pPr>
        <w:pStyle w:val="testo"/>
        <w:rPr>
          <w:rFonts w:ascii="Tahoma" w:hAnsi="Tahoma" w:cs="Tahoma"/>
          <w:sz w:val="18"/>
          <w:szCs w:val="18"/>
          <w:u w:color="FF0000"/>
        </w:rPr>
      </w:pPr>
      <w:r w:rsidRPr="006D7943">
        <w:rPr>
          <w:rFonts w:ascii="Tahoma" w:hAnsi="Tahoma" w:cs="Tahoma"/>
          <w:sz w:val="18"/>
          <w:szCs w:val="18"/>
          <w:u w:color="FF0000"/>
        </w:rPr>
        <w:t>- nella valutazione delle esigenze di famiglia (per i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L’anzianità di servizio di cui alle lettere A) e B) del punto I della tabella deve essere attestata dall'interessato, con apposita dichiarazione personale </w:t>
      </w:r>
      <w:r w:rsidRPr="006D7943">
        <w:rPr>
          <w:rFonts w:ascii="Tahoma" w:hAnsi="Tahoma" w:cs="Tahoma"/>
          <w:sz w:val="18"/>
          <w:szCs w:val="18"/>
        </w:rPr>
        <w:t>Non interrompe la maturazione del punteggio del servizio la fruizione del congedo biennale per l’assistenza a familiari con grave disabilità di cui agli artt. 32, 33 e 34 comma 5 del D.L.vo n. 151/2001.</w:t>
      </w:r>
      <w:r w:rsidRPr="006D7943">
        <w:rPr>
          <w:rFonts w:ascii="Tahoma" w:hAnsi="Tahoma" w:cs="Tahoma"/>
          <w:sz w:val="18"/>
          <w:szCs w:val="18"/>
          <w:u w:color="FF0000"/>
        </w:rPr>
        <w:t xml:space="preserve">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rsidR="00A625D3" w:rsidRPr="006D7943" w:rsidRDefault="00A625D3" w:rsidP="00A625D3">
      <w:pPr>
        <w:pStyle w:val="testo"/>
        <w:ind w:left="0"/>
        <w:rPr>
          <w:rFonts w:ascii="Tahoma" w:hAnsi="Tahoma" w:cs="Tahoma"/>
          <w:bCs/>
          <w:strike/>
          <w:sz w:val="18"/>
          <w:szCs w:val="18"/>
          <w:u w:color="FF0000"/>
        </w:rPr>
      </w:pPr>
      <w:r w:rsidRPr="006D7943">
        <w:rPr>
          <w:rFonts w:ascii="Tahoma" w:hAnsi="Tahoma" w:cs="Tahoma"/>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6D7943">
        <w:rPr>
          <w:rFonts w:ascii="Tahoma" w:hAnsi="Tahoma" w:cs="Tahoma"/>
          <w:bCs/>
          <w:sz w:val="18"/>
          <w:szCs w:val="18"/>
          <w:u w:color="FF0000"/>
        </w:rPr>
        <w:t>ed i</w:t>
      </w:r>
      <w:r w:rsidRPr="006D7943">
        <w:rPr>
          <w:rFonts w:ascii="Tahoma" w:hAnsi="Tahoma" w:cs="Tahoma"/>
          <w:sz w:val="18"/>
          <w:szCs w:val="18"/>
          <w:u w:color="FF0000"/>
        </w:rPr>
        <w:t xml:space="preserve"> </w:t>
      </w:r>
      <w:r w:rsidRPr="006D7943">
        <w:rPr>
          <w:rFonts w:ascii="Tahoma" w:hAnsi="Tahoma" w:cs="Tahoma"/>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6D7943">
        <w:rPr>
          <w:rFonts w:ascii="Tahoma" w:hAnsi="Tahoma" w:cs="Tahoma"/>
          <w:bCs/>
          <w:strike/>
          <w:sz w:val="18"/>
          <w:szCs w:val="18"/>
          <w:u w:color="FF0000"/>
        </w:rPr>
        <w:t xml:space="preserve"> </w:t>
      </w:r>
      <w:r w:rsidRPr="006D7943">
        <w:rPr>
          <w:rFonts w:ascii="Tahoma" w:hAnsi="Tahoma" w:cs="Tahoma"/>
          <w:bCs/>
          <w:sz w:val="18"/>
          <w:szCs w:val="18"/>
          <w:u w:color="FF0000"/>
        </w:rPr>
        <w:t>devono essere debitamente certificati dall’Autorità diplomatica italiana nello Stato estero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w:t>
      </w:r>
      <w:r w:rsidRPr="006D7943">
        <w:rPr>
          <w:rFonts w:ascii="Tahoma" w:hAnsi="Tahoma" w:cs="Tahoma"/>
          <w:sz w:val="18"/>
          <w:szCs w:val="18"/>
        </w:rPr>
        <w:t xml:space="preserve">classe A029 e A 030 </w:t>
      </w:r>
      <w:r w:rsidRPr="006D7943">
        <w:rPr>
          <w:rFonts w:ascii="Tahoma" w:hAnsi="Tahoma" w:cs="Tahoma"/>
          <w:sz w:val="18"/>
          <w:szCs w:val="18"/>
          <w:u w:color="FF0000"/>
        </w:rPr>
        <w:t xml:space="preserve">D.M. 30.1.1998 n. 39 e successive modifiche).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La valutazione degli anni del servizio pre-ruolo nella mobilità a domanda viene effettuata per intero (6 punti per ogni anno). Nella mobilità d’ufficio viene effettuata nella seguente maniera:- i primi 4 anni sono valutati 3 punti per ogni anno - il periodo eccedente i 4 anni è valutato per i 2/3 (due punti per ogni anno).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rsidR="00A625D3" w:rsidRPr="006D7943" w:rsidRDefault="00A625D3" w:rsidP="00A625D3">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t xml:space="preserve">primi 4 anni  (valutati per intero)        </w:t>
      </w:r>
      <w:r w:rsidRPr="006D7943">
        <w:rPr>
          <w:rFonts w:ascii="Tahoma" w:hAnsi="Tahoma" w:cs="Tahoma"/>
          <w:sz w:val="18"/>
          <w:szCs w:val="18"/>
          <w:u w:color="FF0000"/>
        </w:rPr>
        <w:sym w:font="Symbol" w:char="00DE"/>
      </w:r>
      <w:r w:rsidRPr="006D7943">
        <w:rPr>
          <w:rFonts w:ascii="Tahoma" w:hAnsi="Tahoma" w:cs="Tahoma"/>
          <w:sz w:val="18"/>
          <w:szCs w:val="18"/>
          <w:u w:color="FF0000"/>
        </w:rPr>
        <w:t xml:space="preserve">            4 anni  x 3 punti  = 12 punti</w:t>
      </w:r>
    </w:p>
    <w:p w:rsidR="00A625D3" w:rsidRPr="006D7943" w:rsidRDefault="00A625D3" w:rsidP="00A625D3">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t xml:space="preserve">rimanenti  2 anni (valutati due terzi)   </w:t>
      </w:r>
      <w:r w:rsidRPr="006D7943">
        <w:rPr>
          <w:rFonts w:ascii="Tahoma" w:hAnsi="Tahoma" w:cs="Tahoma"/>
          <w:sz w:val="18"/>
          <w:szCs w:val="18"/>
          <w:u w:color="FF0000"/>
        </w:rPr>
        <w:sym w:font="Symbol" w:char="00DE"/>
      </w:r>
      <w:r w:rsidRPr="006D7943">
        <w:rPr>
          <w:rFonts w:ascii="Tahoma" w:hAnsi="Tahoma" w:cs="Tahoma"/>
          <w:sz w:val="18"/>
          <w:szCs w:val="18"/>
          <w:u w:color="FF0000"/>
        </w:rPr>
        <w:t xml:space="preserve">    2/3 x 2 anni x 3 punti  =  4  punti</w:t>
      </w:r>
    </w:p>
    <w:p w:rsidR="00A625D3" w:rsidRPr="006D7943" w:rsidRDefault="00A625D3" w:rsidP="00A625D3">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t>______</w:t>
      </w:r>
    </w:p>
    <w:p w:rsidR="00A625D3" w:rsidRPr="006D7943" w:rsidRDefault="00A625D3" w:rsidP="00A625D3">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t xml:space="preserve">totale:     12 punti  + 4 punti                </w:t>
      </w:r>
      <w:r w:rsidRPr="006D7943">
        <w:rPr>
          <w:rFonts w:ascii="Tahoma" w:hAnsi="Tahoma" w:cs="Tahoma"/>
          <w:sz w:val="18"/>
          <w:szCs w:val="18"/>
          <w:u w:color="FF0000"/>
        </w:rPr>
        <w:sym w:font="Symbol" w:char="00DE"/>
      </w:r>
      <w:r w:rsidRPr="006D7943">
        <w:rPr>
          <w:rFonts w:ascii="Tahoma" w:hAnsi="Tahoma" w:cs="Tahoma"/>
          <w:sz w:val="18"/>
          <w:szCs w:val="18"/>
          <w:u w:color="FF0000"/>
        </w:rPr>
        <w:t xml:space="preserve">                                           16 punti.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w:t>
      </w:r>
      <w:r w:rsidRPr="006D7943">
        <w:rPr>
          <w:rFonts w:ascii="Tahoma" w:hAnsi="Tahoma" w:cs="Tahoma"/>
          <w:sz w:val="18"/>
          <w:szCs w:val="18"/>
          <w:u w:color="FF0000"/>
        </w:rPr>
        <w:lastRenderedPageBreak/>
        <w:t xml:space="preserve">dovranno essere valutati anche se alla data di inizio dell'anno in corso, gli interessati non abbiano ancora superato il periodo di prova ai sensi della legge n. 251 del 5.6.1985.  </w:t>
      </w:r>
    </w:p>
    <w:p w:rsidR="00A625D3" w:rsidRPr="006D7943" w:rsidRDefault="00A625D3" w:rsidP="00A625D3">
      <w:pPr>
        <w:pStyle w:val="testo"/>
        <w:ind w:left="0"/>
        <w:rPr>
          <w:rFonts w:ascii="Tahoma" w:hAnsi="Tahoma" w:cs="Tahoma"/>
          <w:strike/>
          <w:sz w:val="18"/>
          <w:szCs w:val="18"/>
          <w:u w:color="FF0000"/>
        </w:rPr>
      </w:pPr>
      <w:r w:rsidRPr="006D7943">
        <w:rPr>
          <w:rFonts w:ascii="Tahoma" w:hAnsi="Tahoma" w:cs="Tahoma"/>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Al personale docente di ruolo che abbia frequentato, ai sensi dell'art. 2 della legge 13.8.1984, n. 476, i corsi di dottorato di ricerca e al personale docente di ruolo assegnatario di borse di studio o assegni di ricerca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s.i.m.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Il servizio prestato nelle scuole paritarie non è valutabile in quanto non riconoscibile ai fini della ricostruzione di carriera.  E’ fatto salvo il riconoscimento del servizio prestato: </w:t>
      </w:r>
    </w:p>
    <w:p w:rsidR="00A625D3" w:rsidRPr="006D7943" w:rsidRDefault="00A625D3" w:rsidP="00A625D3">
      <w:pPr>
        <w:pStyle w:val="testo"/>
        <w:numPr>
          <w:ilvl w:val="0"/>
          <w:numId w:val="2"/>
        </w:numPr>
        <w:rPr>
          <w:rFonts w:ascii="Tahoma" w:hAnsi="Tahoma" w:cs="Tahoma"/>
          <w:sz w:val="18"/>
          <w:szCs w:val="18"/>
          <w:u w:color="FF0000"/>
        </w:rPr>
      </w:pPr>
      <w:r w:rsidRPr="006D7943">
        <w:rPr>
          <w:rFonts w:ascii="Tahoma" w:hAnsi="Tahoma" w:cs="Tahoma"/>
          <w:sz w:val="18"/>
          <w:szCs w:val="18"/>
          <w:u w:color="FF0000"/>
        </w:rPr>
        <w:t>fino al 31.8.2008 nelle scuole paritarie primarie che abbiano mantenuto lo status di parificate congiuntamente a quello di paritarie</w:t>
      </w:r>
    </w:p>
    <w:p w:rsidR="00A625D3" w:rsidRPr="006D7943" w:rsidRDefault="00A625D3" w:rsidP="00A625D3">
      <w:pPr>
        <w:pStyle w:val="testo"/>
        <w:numPr>
          <w:ilvl w:val="0"/>
          <w:numId w:val="2"/>
        </w:numPr>
        <w:rPr>
          <w:rFonts w:ascii="Tahoma" w:hAnsi="Tahoma" w:cs="Tahoma"/>
          <w:sz w:val="18"/>
          <w:szCs w:val="18"/>
          <w:u w:color="FF0000"/>
        </w:rPr>
      </w:pPr>
      <w:r w:rsidRPr="006D7943">
        <w:rPr>
          <w:rFonts w:ascii="Tahoma" w:hAnsi="Tahoma" w:cs="Tahoma"/>
          <w:sz w:val="18"/>
          <w:szCs w:val="18"/>
          <w:u w:color="FF0000"/>
        </w:rPr>
        <w:t xml:space="preserve">nelle scuole paritarie dell’infanzia comunali </w:t>
      </w:r>
    </w:p>
    <w:p w:rsidR="00A625D3" w:rsidRPr="006D7943" w:rsidRDefault="00A625D3" w:rsidP="00A625D3">
      <w:pPr>
        <w:pStyle w:val="testo"/>
        <w:numPr>
          <w:ilvl w:val="0"/>
          <w:numId w:val="2"/>
        </w:numPr>
        <w:rPr>
          <w:rFonts w:ascii="Tahoma" w:hAnsi="Tahoma" w:cs="Tahoma"/>
          <w:sz w:val="18"/>
          <w:szCs w:val="18"/>
          <w:u w:color="FF0000"/>
        </w:rPr>
      </w:pPr>
      <w:r w:rsidRPr="006D7943">
        <w:rPr>
          <w:rFonts w:ascii="Tahoma" w:hAnsi="Tahoma" w:cs="Tahoma"/>
          <w:sz w:val="18"/>
          <w:szCs w:val="18"/>
          <w:u w:color="FF0000"/>
        </w:rPr>
        <w:t>nelle scuole secondarie pareggiate (art. 360 del T.U.).</w:t>
      </w:r>
    </w:p>
    <w:p w:rsidR="00A625D3" w:rsidRPr="006D7943" w:rsidRDefault="00A625D3" w:rsidP="00A625D3">
      <w:pPr>
        <w:pStyle w:val="testo"/>
        <w:ind w:left="0"/>
        <w:rPr>
          <w:rFonts w:ascii="Tahoma" w:hAnsi="Tahoma" w:cs="Tahoma"/>
          <w:sz w:val="18"/>
          <w:szCs w:val="18"/>
          <w:u w:color="FF0000"/>
        </w:rPr>
      </w:pP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N O T E</w:t>
      </w:r>
    </w:p>
    <w:p w:rsidR="00A625D3" w:rsidRPr="006D7943" w:rsidRDefault="00A625D3" w:rsidP="00A625D3">
      <w:pPr>
        <w:pStyle w:val="testo"/>
        <w:ind w:left="0"/>
        <w:rPr>
          <w:rFonts w:ascii="Tahoma" w:hAnsi="Tahoma" w:cs="Tahoma"/>
          <w:color w:val="000000"/>
          <w:sz w:val="18"/>
          <w:szCs w:val="18"/>
        </w:rPr>
      </w:pPr>
      <w:r w:rsidRPr="006D7943">
        <w:rPr>
          <w:rFonts w:ascii="Tahoma" w:hAnsi="Tahoma" w:cs="Tahoma"/>
          <w:sz w:val="18"/>
          <w:szCs w:val="18"/>
          <w:u w:color="FF0000"/>
        </w:rPr>
        <w:t xml:space="preserve">(1) Il ruolo di appartenenza va riferito rispettivamente: a) alla scuola dell’infanzia; b) alla scuola primaria; c) alla scuola secondaria di I grado; d) agli istituti di istruzione secondaria di II grado e artistica.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Relativamente ai docenti delle scuole primarie, per ogni anno di insegnamento</w:t>
      </w:r>
      <w:r w:rsidRPr="006D7943">
        <w:rPr>
          <w:rFonts w:ascii="Tahoma" w:hAnsi="Tahoma" w:cs="Tahoma"/>
          <w:strike/>
          <w:sz w:val="18"/>
          <w:szCs w:val="18"/>
          <w:u w:color="FF0000"/>
        </w:rPr>
        <w:t xml:space="preserve"> </w:t>
      </w:r>
      <w:r w:rsidRPr="006D7943">
        <w:rPr>
          <w:rFonts w:ascii="Tahoma" w:hAnsi="Tahoma" w:cs="Tahoma"/>
          <w:sz w:val="18"/>
          <w:szCs w:val="18"/>
          <w:u w:color="FF0000"/>
        </w:rPr>
        <w:t>nelle scuola di montagna ai sensi della legge 1/3/1957, n. 90, il punteggio è raddoppiato. Per l'attribuzione del punteggio si prescinde dal requisito della residenza in sede. Per ogni anno di servizio prestato nei paesi in via di sviluppo il punteggio è raddoppiato.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(3) La dizione “piccole isole” è comprensiva di tutte le isole del territorio italiano, ad eccezione, ovviamente, delle due isole maggiori (Sicilia e Sardegna).Il punteggio aggiuntivo previsto per il servizio prestato nelle piccole isole è attribuito indipendentemente dal luogo di residenza dell’interessato.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(4)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 ruolo e un precedente servizio di altro ruolo è valutato 6 punti per ogni anno per tutti gli anni. </w:t>
      </w:r>
      <w:r w:rsidRPr="006D7943">
        <w:rPr>
          <w:rFonts w:ascii="Tahoma" w:hAnsi="Tahoma" w:cs="Tahoma"/>
          <w:sz w:val="18"/>
          <w:szCs w:val="18"/>
        </w:rPr>
        <w:t xml:space="preserve">Il servizio pre ruolo ai fini della compilazione della graduatorie interne per l’individuazione del perdente posto continua ad essere valutato 3 </w:t>
      </w:r>
      <w:r w:rsidRPr="006D7943">
        <w:rPr>
          <w:rFonts w:ascii="Tahoma" w:hAnsi="Tahoma" w:cs="Tahoma"/>
          <w:sz w:val="18"/>
          <w:szCs w:val="18"/>
          <w:u w:color="FF0000"/>
        </w:rPr>
        <w:t>punti per i primi quattro anni e 2 per i successivi.</w:t>
      </w:r>
      <w:r w:rsidRPr="006D7943">
        <w:rPr>
          <w:rFonts w:ascii="Tahoma" w:hAnsi="Tahoma" w:cs="Tahoma"/>
          <w:color w:val="FF0000"/>
          <w:sz w:val="18"/>
          <w:szCs w:val="18"/>
          <w:u w:color="FF0000"/>
        </w:rPr>
        <w:t xml:space="preserve"> </w:t>
      </w:r>
      <w:r w:rsidRPr="006D7943">
        <w:rPr>
          <w:rFonts w:ascii="Tahoma" w:hAnsi="Tahoma" w:cs="Tahoma"/>
          <w:sz w:val="18"/>
          <w:szCs w:val="18"/>
          <w:u w:color="FF0000"/>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pre-ruolo e si valutano come pre-ruolo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pre-ruolo e si valutano come pre-ruolo (3 punti per i primi quattro anni e 2 per i successivi) se attualmente si è titolari nella scuola primaria o nella scuola dell’infanzia. 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(5)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6D7943">
        <w:rPr>
          <w:rFonts w:ascii="Tahoma" w:hAnsi="Tahoma" w:cs="Tahoma"/>
          <w:color w:val="FF0000"/>
          <w:sz w:val="18"/>
          <w:szCs w:val="18"/>
          <w:u w:color="FF0000"/>
        </w:rPr>
        <w:t xml:space="preserve"> </w:t>
      </w:r>
      <w:r w:rsidRPr="006D7943">
        <w:rPr>
          <w:rFonts w:ascii="Tahoma" w:hAnsi="Tahoma" w:cs="Tahoma"/>
          <w:sz w:val="18"/>
          <w:szCs w:val="18"/>
          <w:u w:color="FF0000"/>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w:t>
      </w:r>
      <w:r w:rsidRPr="006D7943">
        <w:rPr>
          <w:rFonts w:ascii="Tahoma" w:hAnsi="Tahoma" w:cs="Tahoma"/>
          <w:sz w:val="18"/>
          <w:szCs w:val="18"/>
        </w:rPr>
        <w:t>corsi serali</w:t>
      </w:r>
      <w:r w:rsidRPr="006D7943">
        <w:rPr>
          <w:rFonts w:ascii="Tahoma" w:hAnsi="Tahoma" w:cs="Tahoma"/>
          <w:sz w:val="18"/>
          <w:szCs w:val="18"/>
          <w:u w:color="FF0000"/>
        </w:rPr>
        <w:t xml:space="preserve">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7583"/>
        <w:gridCol w:w="1418"/>
      </w:tblGrid>
      <w:tr w:rsidR="00A625D3" w:rsidRPr="006D7943" w:rsidTr="0081528D">
        <w:tc>
          <w:tcPr>
            <w:tcW w:w="7583" w:type="dxa"/>
            <w:tcBorders>
              <w:top w:val="single" w:sz="6" w:space="0" w:color="auto"/>
              <w:left w:val="single" w:sz="6" w:space="0" w:color="auto"/>
              <w:bottom w:val="single" w:sz="6" w:space="0" w:color="auto"/>
              <w:right w:val="single" w:sz="6" w:space="0" w:color="auto"/>
            </w:tcBorders>
          </w:tcPr>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xml:space="preserve">C) Per ogni anno di servizio di ruolo prestato nella scuola di attuale titolarità  o di incarico triennale senza  soluzione di continuità in aggiunta a quello previsto dalle lettere A), A1), B), B1), B2) </w:t>
            </w: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entro  il  quinquennio.................................................................……………</w:t>
            </w: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Punti 2</w:t>
            </w: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xml:space="preserve">Punti 3 </w:t>
            </w:r>
          </w:p>
        </w:tc>
      </w:tr>
    </w:tbl>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Sempre ai fini della formazione della graduatoria per l’individuazione del soprannumerario ed ai fini del trasferimento d’ufficio, viene valutata anche la continuità di servizio nella comune di attuale titolarità, nella seguente misura: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7583"/>
        <w:gridCol w:w="1418"/>
      </w:tblGrid>
      <w:tr w:rsidR="00A625D3" w:rsidRPr="006D7943" w:rsidTr="0081528D">
        <w:tc>
          <w:tcPr>
            <w:tcW w:w="7583" w:type="dxa"/>
            <w:tcBorders>
              <w:top w:val="single" w:sz="6" w:space="0" w:color="auto"/>
              <w:left w:val="single" w:sz="6" w:space="0" w:color="auto"/>
              <w:bottom w:val="single" w:sz="6" w:space="0" w:color="auto"/>
              <w:right w:val="single" w:sz="6" w:space="0" w:color="auto"/>
            </w:tcBorders>
          </w:tcPr>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C 0) Per ogni anno di servizio di ruolo prestato nel comune di attuale titolarità o di incarico triennale senza soluzione di continuità in aggiunta a quello previsto dalle lettere A), A1), B), B1), B2) ………………………………………………………..</w:t>
            </w:r>
          </w:p>
        </w:tc>
        <w:tc>
          <w:tcPr>
            <w:tcW w:w="1418" w:type="dxa"/>
            <w:tcBorders>
              <w:top w:val="single" w:sz="6" w:space="0" w:color="auto"/>
              <w:left w:val="single" w:sz="6" w:space="0" w:color="auto"/>
              <w:bottom w:val="single" w:sz="6" w:space="0" w:color="auto"/>
              <w:right w:val="single" w:sz="6" w:space="0" w:color="auto"/>
            </w:tcBorders>
          </w:tcPr>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xml:space="preserve">Punti 1 </w:t>
            </w:r>
          </w:p>
        </w:tc>
      </w:tr>
    </w:tbl>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A625D3" w:rsidRPr="006D7943" w:rsidRDefault="00A625D3" w:rsidP="00A625D3">
      <w:pPr>
        <w:pStyle w:val="testo"/>
        <w:numPr>
          <w:ilvl w:val="1"/>
          <w:numId w:val="1"/>
        </w:numPr>
        <w:tabs>
          <w:tab w:val="clear" w:pos="1420"/>
          <w:tab w:val="num" w:pos="900"/>
        </w:tabs>
        <w:ind w:left="900" w:hanging="360"/>
        <w:rPr>
          <w:rFonts w:ascii="Tahoma" w:hAnsi="Tahoma" w:cs="Tahoma"/>
          <w:sz w:val="18"/>
          <w:szCs w:val="18"/>
          <w:u w:color="FF0000"/>
        </w:rPr>
      </w:pPr>
      <w:r w:rsidRPr="006D7943">
        <w:rPr>
          <w:rFonts w:ascii="Tahoma" w:hAnsi="Tahoma" w:cs="Tahoma"/>
          <w:sz w:val="18"/>
          <w:szCs w:val="18"/>
          <w:u w:color="FF0000"/>
        </w:rPr>
        <w:t>domanda condizionata di trasferimento, in quanto individuati soprannumerari;</w:t>
      </w:r>
    </w:p>
    <w:p w:rsidR="00A625D3" w:rsidRPr="006D7943" w:rsidRDefault="00A625D3" w:rsidP="00A625D3">
      <w:pPr>
        <w:pStyle w:val="testo"/>
        <w:numPr>
          <w:ilvl w:val="1"/>
          <w:numId w:val="1"/>
        </w:numPr>
        <w:tabs>
          <w:tab w:val="clear" w:pos="1420"/>
          <w:tab w:val="num" w:pos="900"/>
        </w:tabs>
        <w:ind w:left="900" w:hanging="360"/>
        <w:rPr>
          <w:rFonts w:ascii="Tahoma" w:hAnsi="Tahoma" w:cs="Tahoma"/>
          <w:sz w:val="18"/>
          <w:szCs w:val="18"/>
          <w:u w:color="FF0000"/>
        </w:rPr>
      </w:pPr>
      <w:r w:rsidRPr="006D7943">
        <w:rPr>
          <w:rFonts w:ascii="Tahoma" w:hAnsi="Tahoma" w:cs="Tahoma"/>
          <w:sz w:val="18"/>
          <w:szCs w:val="18"/>
          <w:u w:color="FF0000"/>
        </w:rPr>
        <w:t>domanda di trasferimento per la scuola primaria tra i posti comune e lingua straniera nell’organico dello stesso circolo di titolarità;</w:t>
      </w:r>
    </w:p>
    <w:p w:rsidR="00A625D3" w:rsidRPr="006D7943" w:rsidRDefault="00A625D3" w:rsidP="00A625D3">
      <w:pPr>
        <w:pStyle w:val="testo"/>
        <w:numPr>
          <w:ilvl w:val="1"/>
          <w:numId w:val="1"/>
        </w:numPr>
        <w:tabs>
          <w:tab w:val="clear" w:pos="1420"/>
          <w:tab w:val="num" w:pos="900"/>
        </w:tabs>
        <w:ind w:left="900" w:hanging="360"/>
        <w:rPr>
          <w:rFonts w:ascii="Tahoma" w:hAnsi="Tahoma" w:cs="Tahoma"/>
          <w:sz w:val="18"/>
          <w:szCs w:val="18"/>
          <w:u w:color="FF0000"/>
        </w:rPr>
      </w:pPr>
      <w:r w:rsidRPr="006D7943">
        <w:rPr>
          <w:rFonts w:ascii="Tahoma" w:hAnsi="Tahoma" w:cs="Tahoma"/>
          <w:sz w:val="18"/>
          <w:szCs w:val="18"/>
          <w:u w:color="FF0000"/>
        </w:rPr>
        <w:t>domanda di rientro nella scuola di precedente titolarità, nel quinquennio di fruizione del diritto alla precedenza di cui ai punti II e V dell’art. 13, comma 1 del CCNI.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(6)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6D7943">
        <w:rPr>
          <w:rFonts w:ascii="Tahoma" w:hAnsi="Tahoma" w:cs="Tahoma"/>
          <w:strike/>
          <w:sz w:val="18"/>
          <w:szCs w:val="18"/>
          <w:u w:color="FF0000"/>
        </w:rPr>
        <w:t>no</w:t>
      </w:r>
      <w:r w:rsidRPr="006D7943">
        <w:rPr>
          <w:rFonts w:ascii="Tahoma" w:hAnsi="Tahoma" w:cs="Tahoma"/>
          <w:sz w:val="18"/>
          <w:szCs w:val="18"/>
          <w:u w:color="FF0000"/>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 (7)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val="single"/>
        </w:rPr>
        <w:t>lettera A)</w:t>
      </w:r>
      <w:r w:rsidRPr="006D7943">
        <w:rPr>
          <w:rFonts w:ascii="Tahoma" w:hAnsi="Tahoma" w:cs="Tahoma"/>
          <w:sz w:val="18"/>
          <w:szCs w:val="18"/>
          <w:u w:color="FF0000"/>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val="single"/>
        </w:rPr>
        <w:t>lettera B) e lettera C)</w:t>
      </w:r>
      <w:r w:rsidRPr="006D7943">
        <w:rPr>
          <w:rFonts w:ascii="Tahoma" w:hAnsi="Tahoma" w:cs="Tahoma"/>
          <w:sz w:val="18"/>
          <w:szCs w:val="18"/>
          <w:u w:color="FF0000"/>
        </w:rPr>
        <w:t xml:space="preserve"> valgono sempre;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val="single"/>
        </w:rPr>
        <w:t>lettera D)</w:t>
      </w:r>
      <w:r w:rsidRPr="006D7943">
        <w:rPr>
          <w:rFonts w:ascii="Tahoma" w:hAnsi="Tahoma" w:cs="Tahoma"/>
          <w:sz w:val="18"/>
          <w:szCs w:val="18"/>
          <w:u w:color="FF0000"/>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Il punteggio così calcolato viene utilizzato anche nelle operazioni di trasferimento d’ufficio del soprannumerario.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(8) Il punteggio va attribuito anche per i figli che compiono i sei anni o i diciotto tra il 1 gennaio e il 31 dicembre dell’anno in cui si effettua il trasferimento.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(9) La valutazione è attribuita nei seguenti casi: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a) figlio minorato, ovvero coniuge o parte dell’unione civile o genitore, ricoverati permanentemente in un istituto di cura;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b) figlio minorato, ovvero coniuge o parte dell’unione civile o genitore bisognosi di cure continuative presso un istituto di cura tali da comportare di necessità la residenza nella sede dello istituto medesimo.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(10) Si precisa che ai sensi della lettera B) si valuta un solo pubblico concorso. E’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sidRPr="006D7943">
        <w:rPr>
          <w:rFonts w:ascii="Tahoma" w:hAnsi="Tahoma" w:cs="Tahoma"/>
          <w:i/>
          <w:sz w:val="18"/>
          <w:szCs w:val="18"/>
          <w:u w:color="FF0000"/>
        </w:rPr>
        <w:t xml:space="preserve"> </w:t>
      </w:r>
      <w:r w:rsidRPr="006D7943">
        <w:rPr>
          <w:rFonts w:ascii="Tahoma" w:hAnsi="Tahoma" w:cs="Tahoma"/>
          <w:sz w:val="18"/>
          <w:szCs w:val="18"/>
          <w:u w:color="FF0000"/>
        </w:rPr>
        <w:t xml:space="preserve"> 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r w:rsidRPr="006D7943">
        <w:rPr>
          <w:rFonts w:ascii="Tahoma" w:hAnsi="Tahoma" w:cs="Tahoma"/>
          <w:sz w:val="18"/>
          <w:szCs w:val="18"/>
        </w:rPr>
        <w:t>e successive modifiche ed integrazioni</w:t>
      </w:r>
      <w:r w:rsidRPr="006D7943">
        <w:rPr>
          <w:rFonts w:ascii="Tahoma" w:hAnsi="Tahoma" w:cs="Tahoma"/>
          <w:sz w:val="18"/>
          <w:szCs w:val="18"/>
          <w:u w:color="FF0000"/>
        </w:rPr>
        <w:t>.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A625D3" w:rsidRPr="006D7943" w:rsidRDefault="00A625D3" w:rsidP="00A625D3">
      <w:pPr>
        <w:pStyle w:val="testo"/>
        <w:ind w:left="0"/>
        <w:rPr>
          <w:rFonts w:ascii="Tahoma" w:hAnsi="Tahoma" w:cs="Tahoma"/>
          <w:strike/>
          <w:sz w:val="18"/>
          <w:szCs w:val="18"/>
          <w:u w:color="FF0000"/>
        </w:rPr>
      </w:pPr>
      <w:r w:rsidRPr="006D7943">
        <w:rPr>
          <w:rFonts w:ascii="Tahoma" w:hAnsi="Tahoma" w:cs="Tahoma"/>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6D7943">
        <w:rPr>
          <w:rFonts w:ascii="Tahoma" w:hAnsi="Tahoma" w:cs="Tahoma"/>
          <w:iCs/>
          <w:sz w:val="18"/>
          <w:szCs w:val="18"/>
        </w:rPr>
        <w:t xml:space="preserve"> alla </w:t>
      </w:r>
      <w:r w:rsidRPr="006D7943">
        <w:rPr>
          <w:rFonts w:ascii="Tahoma" w:hAnsi="Tahoma" w:cs="Tahoma"/>
          <w:sz w:val="18"/>
          <w:szCs w:val="18"/>
        </w:rPr>
        <w:t xml:space="preserve">laurea in scienze della </w:t>
      </w:r>
      <w:r w:rsidRPr="006D7943">
        <w:rPr>
          <w:rFonts w:ascii="Tahoma" w:hAnsi="Tahoma" w:cs="Tahoma"/>
          <w:bCs/>
          <w:sz w:val="18"/>
          <w:szCs w:val="18"/>
        </w:rPr>
        <w:t>formazione primaria</w:t>
      </w:r>
      <w:r w:rsidRPr="006D7943">
        <w:rPr>
          <w:rFonts w:ascii="Tahoma" w:hAnsi="Tahoma" w:cs="Tahoma"/>
          <w:sz w:val="18"/>
          <w:szCs w:val="18"/>
        </w:rPr>
        <w:t xml:space="preserve"> con </w:t>
      </w:r>
      <w:r w:rsidRPr="006D7943">
        <w:rPr>
          <w:rFonts w:ascii="Tahoma" w:hAnsi="Tahoma" w:cs="Tahoma"/>
          <w:bCs/>
          <w:sz w:val="18"/>
          <w:szCs w:val="18"/>
        </w:rPr>
        <w:t>indirizzo-infanzia,</w:t>
      </w:r>
      <w:r w:rsidRPr="006D7943">
        <w:rPr>
          <w:rFonts w:ascii="Tahoma" w:hAnsi="Tahoma" w:cs="Tahoma"/>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6D7943">
        <w:rPr>
          <w:rFonts w:ascii="Tahoma" w:hAnsi="Tahoma" w:cs="Tahoma"/>
          <w:bCs/>
          <w:sz w:val="18"/>
          <w:szCs w:val="18"/>
        </w:rPr>
        <w:t>formazione primaria</w:t>
      </w:r>
      <w:r w:rsidRPr="006D7943">
        <w:rPr>
          <w:rFonts w:ascii="Tahoma" w:hAnsi="Tahoma" w:cs="Tahoma"/>
          <w:sz w:val="18"/>
          <w:szCs w:val="18"/>
        </w:rPr>
        <w:t xml:space="preserve"> con </w:t>
      </w:r>
      <w:r w:rsidRPr="006D7943">
        <w:rPr>
          <w:rFonts w:ascii="Tahoma" w:hAnsi="Tahoma" w:cs="Tahoma"/>
          <w:bCs/>
          <w:sz w:val="18"/>
          <w:szCs w:val="18"/>
        </w:rPr>
        <w:t xml:space="preserve">indirizzo-primaria, titolo </w:t>
      </w:r>
      <w:r w:rsidRPr="006D7943">
        <w:rPr>
          <w:rFonts w:ascii="Tahoma" w:hAnsi="Tahoma" w:cs="Tahoma"/>
          <w:sz w:val="18"/>
          <w:szCs w:val="18"/>
        </w:rPr>
        <w:t>non utile ai fini dell’accesso al ruolo della scuola</w:t>
      </w:r>
      <w:r w:rsidRPr="006D7943">
        <w:rPr>
          <w:rFonts w:ascii="Tahoma" w:hAnsi="Tahoma" w:cs="Tahoma"/>
          <w:bCs/>
          <w:sz w:val="18"/>
          <w:szCs w:val="18"/>
        </w:rPr>
        <w:t xml:space="preserve"> dell’infanzia, verrà riconosciuto il punteggio di n. 5 punti in quanto titolo</w:t>
      </w:r>
      <w:r w:rsidRPr="006D7943">
        <w:rPr>
          <w:rFonts w:ascii="Tahoma" w:hAnsi="Tahoma" w:cs="Tahoma"/>
          <w:sz w:val="18"/>
          <w:szCs w:val="18"/>
        </w:rPr>
        <w:t xml:space="preserve"> aggiuntivo a quello necessario per l’accesso al ruolo di appartenenza.</w:t>
      </w:r>
      <w:r w:rsidRPr="006D7943">
        <w:rPr>
          <w:rFonts w:ascii="Tahoma" w:hAnsi="Tahoma" w:cs="Tahoma"/>
          <w:sz w:val="18"/>
          <w:szCs w:val="18"/>
          <w:u w:color="FF0000"/>
        </w:rPr>
        <w:t xml:space="preserve"> Il diploma di laurea in Didattica della musica non si valuta: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ai docenti titolari delle classi di concorso A031 e A032 in quanto titolo richiesto per l’accesso al ruolo di appartenenza;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 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w:t>
      </w:r>
      <w:smartTag w:uri="urn:schemas-microsoft-com:office:smarttags" w:element="metricconverter">
        <w:smartTagPr>
          <w:attr w:name="ProductID" w:val="605 L"/>
        </w:smartTagPr>
        <w:r w:rsidRPr="006D7943">
          <w:rPr>
            <w:rFonts w:ascii="Tahoma" w:hAnsi="Tahoma" w:cs="Tahoma"/>
            <w:sz w:val="18"/>
            <w:szCs w:val="18"/>
            <w:u w:color="FF0000"/>
          </w:rPr>
          <w:t>605 L</w:t>
        </w:r>
      </w:smartTag>
      <w:r w:rsidRPr="006D7943">
        <w:rPr>
          <w:rFonts w:ascii="Tahoma" w:hAnsi="Tahoma" w:cs="Tahoma"/>
          <w:sz w:val="18"/>
          <w:szCs w:val="18"/>
          <w:u w:color="FF0000"/>
        </w:rPr>
        <w:t>. n. 296/2006).</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(13) Il punteggio può essere attribuito anche al personale diplomato.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(14) I corsi tenuti a decorrere dall’anno accademico 2005/06 saranno valutati esclusivamente se di durata annuale, con 1500 ore complessive di impegno, con un riconoscimento di 60 CFU e con esame finale.</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(15) Limitatamente alla mobilità nell’ambito dell’insegnamento della religione cattolica sono considerati validi i titoli previsti dal D.P.R. 751/85 e specificati dal DM 15.7.87 e successive modificazioni ed integrazioni.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(16) Il punteggio viene attribuito per il conseguimento di un solo titolo linguistico.</w:t>
      </w:r>
    </w:p>
    <w:p w:rsidR="00A625D3" w:rsidRDefault="00A625D3" w:rsidP="00A625D3">
      <w:pPr>
        <w:autoSpaceDE/>
        <w:autoSpaceDN/>
        <w:spacing w:after="200" w:line="276" w:lineRule="auto"/>
        <w:rPr>
          <w:rFonts w:ascii="Tahoma" w:eastAsia="Calibri" w:hAnsi="Tahoma" w:cs="Tahoma"/>
          <w:sz w:val="18"/>
          <w:szCs w:val="18"/>
          <w:lang w:eastAsia="en-US"/>
        </w:rPr>
      </w:pPr>
    </w:p>
    <w:p w:rsidR="00253CB7" w:rsidRDefault="00253CB7"/>
    <w:sectPr w:rsidR="00253CB7" w:rsidSect="009222F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63643156"/>
    <w:multiLevelType w:val="hybridMultilevel"/>
    <w:tmpl w:val="064E28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compat/>
  <w:rsids>
    <w:rsidRoot w:val="00D25BCE"/>
    <w:rsid w:val="001B0A15"/>
    <w:rsid w:val="001D2B25"/>
    <w:rsid w:val="00212EB1"/>
    <w:rsid w:val="00253CB7"/>
    <w:rsid w:val="006D4A2C"/>
    <w:rsid w:val="009222F2"/>
    <w:rsid w:val="00A625D3"/>
    <w:rsid w:val="00C717CC"/>
    <w:rsid w:val="00D25BCE"/>
    <w:rsid w:val="00E00F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25D3"/>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A625D3"/>
    <w:pPr>
      <w:ind w:left="567"/>
      <w:jc w:val="both"/>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6201</Words>
  <Characters>35351</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Palazzo</dc:creator>
  <cp:lastModifiedBy>.</cp:lastModifiedBy>
  <cp:revision>2</cp:revision>
  <dcterms:created xsi:type="dcterms:W3CDTF">2024-02-28T09:49:00Z</dcterms:created>
  <dcterms:modified xsi:type="dcterms:W3CDTF">2024-02-28T09:49:00Z</dcterms:modified>
</cp:coreProperties>
</file>