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ANALISI INTERPRETATIVA DELLE LINEE PEDAGOGICHE PER IL SISTEMA INTEGRATO “ZEROSEI”</w:t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819"/>
          <w:tab w:val="left" w:pos="8280"/>
        </w:tabs>
        <w:spacing w:after="0"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ab/>
        <w:t xml:space="preserve">INQUADRATO NELLA CORNICE SWOT</w:t>
        <w:tab/>
      </w:r>
    </w:p>
    <w:tbl>
      <w:tblPr>
        <w:tblStyle w:val="Table1"/>
        <w:tblW w:w="100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81"/>
        <w:gridCol w:w="4422"/>
        <w:tblGridChange w:id="0">
          <w:tblGrid>
            <w:gridCol w:w="5581"/>
            <w:gridCol w:w="4422"/>
          </w:tblGrid>
        </w:tblGridChange>
      </w:tblGrid>
      <w:tr>
        <w:trPr>
          <w:cantSplit w:val="0"/>
          <w:trHeight w:val="8156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71120</wp:posOffset>
                      </wp:positionV>
                      <wp:extent cx="2438400" cy="533400"/>
                      <wp:effectExtent b="19050" l="0" r="1905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533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8C5" w:rsidDel="00000000" w:rsidP="00ED59F5" w:rsidRDefault="00744706" w:rsidRPr="009E5ADB">
                                  <w:pPr>
                                    <w:shd w:color="auto" w:fill="ffff00" w:val="clear"/>
                                    <w:spacing w:after="0"/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Del="00000000" w:rsidR="00000000" w:rsidRPr="009E5ADB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STRENGTHS </w:t>
                                  </w:r>
                                </w:p>
                                <w:p w:rsidR="00744706" w:rsidDel="00000000" w:rsidP="00ED59F5" w:rsidRDefault="00744706" w:rsidRPr="009E5ADB">
                                  <w:pPr>
                                    <w:shd w:color="auto" w:fill="ffff00" w:val="clear"/>
                                    <w:spacing w:after="0"/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Del="00000000" w:rsidR="00000000" w:rsidRPr="009E5ADB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PUNTI DI FORZA</w:t>
                                  </w:r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71120</wp:posOffset>
                      </wp:positionV>
                      <wp:extent cx="2457450" cy="5524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7450" cy="552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shd w:fill="ffff00" w:val="clear"/>
              <w:tabs>
                <w:tab w:val="left" w:pos="465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Continuità verticale (tra 0/6) e orizzontale;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in entrata e permanente dei docenti ed educatori;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 Progetto (Nido) al Curricolo verticale (3/6);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Socialità tra i gruppi;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Progettazione del curricolo implicito ed esplicito: intenzionalità pedagogica;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Autovalutazione di sistema: apprendimento non lineare ma a spirale dei processi;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narrativa-formativa e olistica;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Documentazione: flessibilità del processo educativo-formativo ed eventuale revisione e riprogettazione attraverso tracce educative depositate dai bambini e docenti;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Fattori che influenzano l’apprendimento: influenze socio-culturali (familiari-extrascolastici-cognitivi-culturali);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Rendicontazione;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 lento dell’apprendimento;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Ascolto attivo ed empatico: adulto accogliente, incoraggiante-regista responsabile-partecipe (comunicazione/gentile), capacità relazionale tra educatori, insegnanti, genitori.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369569</wp:posOffset>
                      </wp:positionH>
                      <wp:positionV relativeFrom="paragraph">
                        <wp:posOffset>90170</wp:posOffset>
                      </wp:positionV>
                      <wp:extent cx="2105025" cy="542925"/>
                      <wp:effectExtent b="28575" l="0" r="28575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B7E9D" w:rsidDel="00000000" w:rsidP="004878C5" w:rsidRDefault="004878C5" w:rsidRPr="00ED59F5">
                                  <w:pPr>
                                    <w:shd w:color="auto" w:fill="92d050" w:val="clear"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Del="00000000" w:rsidR="00000000" w:rsidRPr="00ED59F5">
                                    <w:rPr>
                                      <w:sz w:val="24"/>
                                      <w:szCs w:val="24"/>
                                    </w:rPr>
                                    <w:t>WEAKNESS</w:t>
                                  </w:r>
                                </w:p>
                                <w:p w:rsidR="004878C5" w:rsidDel="00000000" w:rsidP="004878C5" w:rsidRDefault="004878C5" w:rsidRPr="00ED59F5">
                                  <w:pPr>
                                    <w:shd w:color="auto" w:fill="92d050" w:val="clear"/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Del="00000000" w:rsidR="00000000" w:rsidRPr="00ED59F5">
                                    <w:rPr>
                                      <w:sz w:val="24"/>
                                      <w:szCs w:val="24"/>
                                    </w:rPr>
                                    <w:t>PUNTI DI DEBOLEZZA</w:t>
                                  </w:r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369569</wp:posOffset>
                      </wp:positionH>
                      <wp:positionV relativeFrom="paragraph">
                        <wp:posOffset>90170</wp:posOffset>
                      </wp:positionV>
                      <wp:extent cx="2133600" cy="5715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33600" cy="571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shd w:fill="92d050" w:val="clear"/>
              <w:tabs>
                <w:tab w:val="left" w:pos="28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0"/>
              </w:tabs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Segmento 0/3: un’opportunità formativa condizionata dalla situazione socio-economica-familiare;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0"/>
              </w:tabs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Edilizia scolastica non sufficientemente adeguata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2700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4647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551179</wp:posOffset>
                      </wp:positionH>
                      <wp:positionV relativeFrom="paragraph">
                        <wp:posOffset>29210</wp:posOffset>
                      </wp:positionV>
                      <wp:extent cx="2314575" cy="561975"/>
                      <wp:effectExtent b="28575" l="0" r="28575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5ADB" w:rsidDel="00000000" w:rsidP="009E5ADB" w:rsidRDefault="009E5ADB" w:rsidRPr="00000000">
                                  <w:pPr>
                                    <w:shd w:color="auto" w:fill="5b9bd5" w:themeFill="accent1" w:val="clear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Del="00000000" w:rsidR="00000000" w:rsidRPr="00000000">
                                    <w:rPr>
                                      <w:color w:val="ff0000"/>
                                    </w:rPr>
                                    <w:t>OPPORTUNITIES:</w:t>
                                  </w:r>
                                </w:p>
                                <w:p w:rsidR="009E5ADB" w:rsidDel="00000000" w:rsidP="009E5ADB" w:rsidRDefault="009E5ADB" w:rsidRPr="005E3A08">
                                  <w:pPr>
                                    <w:shd w:color="auto" w:fill="5b9bd5" w:themeFill="accent1" w:val="clear"/>
                                    <w:jc w:val="center"/>
                                    <w:rPr>
                                      <w:color w:val="2e74b5" w:themeColor="accent1" w:themeShade="0000BF"/>
                                    </w:rPr>
                                  </w:pPr>
                                  <w:r w:rsidDel="00000000" w:rsidR="00000000" w:rsidRPr="00000000">
                                    <w:rPr>
                                      <w:color w:val="ff0000"/>
                                    </w:rPr>
                                    <w:t>OPPORTUNITA’</w:t>
                                  </w:r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551179</wp:posOffset>
                      </wp:positionH>
                      <wp:positionV relativeFrom="paragraph">
                        <wp:posOffset>29210</wp:posOffset>
                      </wp:positionV>
                      <wp:extent cx="2343150" cy="5905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3150" cy="590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B">
            <w:pPr>
              <w:ind w:firstLine="70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Continuità educante;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Opportunità lavorativa per le mamme;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Diritti dei bambini (ONU);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per tutti.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19685</wp:posOffset>
                      </wp:positionV>
                      <wp:extent cx="2114550" cy="590550"/>
                      <wp:effectExtent b="19050" l="0" r="1905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5ADB" w:rsidDel="00000000" w:rsidP="009E5ADB" w:rsidRDefault="009E5ADB" w:rsidRPr="00ED59F5">
                                  <w:pPr>
                                    <w:shd w:color="auto" w:fill="c45911" w:themeFill="accent2" w:themeFillShade="0000BF" w:val="clear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colFirst="0" w:colLast="0" w:name="_gjdgxs" w:id="0"/>
                                  <w:r w:rsidDel="00000000" w:rsidR="00000000" w:rsidRPr="00ED59F5">
                                    <w:rPr>
                                      <w:sz w:val="24"/>
                                      <w:szCs w:val="24"/>
                                    </w:rPr>
                                    <w:t>TREATS</w:t>
                                  </w:r>
                                </w:p>
                                <w:p w:rsidR="009E5ADB" w:rsidDel="00000000" w:rsidP="009E5ADB" w:rsidRDefault="009E5ADB" w:rsidRPr="00ED59F5">
                                  <w:pPr>
                                    <w:shd w:color="auto" w:fill="c45911" w:themeFill="accent2" w:themeFillShade="0000BF" w:val="clear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Del="00000000" w:rsidR="00000000" w:rsidRPr="00ED59F5">
                                    <w:rPr>
                                      <w:sz w:val="24"/>
                                      <w:szCs w:val="24"/>
                                    </w:rPr>
                                    <w:t>MINACCE</w:t>
                                  </w:r>
                                  <w:bookmarkEnd w:id="0"/>
                                </w:p>
                              </w:txbxContent>
                            </wps:txbx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19685</wp:posOffset>
                      </wp:positionV>
                      <wp:extent cx="2133600" cy="6096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33600" cy="609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Delega ad altre agenzie educative con relativa perdita dell’attaccamento genitoriale;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Anticipo di massa della fascia 0/2½;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Perdita identitaria dei vari segmenti scolastici;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Viene meno la pedagogia della lentezza degli apprendimenti.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pos="106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