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1B3" w:rsidRDefault="006031B3" w:rsidP="006031B3">
      <w:pPr>
        <w:spacing w:before="450" w:after="300" w:line="570" w:lineRule="atLeast"/>
        <w:outlineLvl w:val="1"/>
        <w:rPr>
          <w:rFonts w:ascii="Arial" w:eastAsia="Times New Roman" w:hAnsi="Arial" w:cs="Arial"/>
          <w:color w:val="222222"/>
          <w:spacing w:val="-5"/>
          <w:sz w:val="41"/>
          <w:szCs w:val="41"/>
          <w:lang w:eastAsia="it-IT"/>
        </w:rPr>
      </w:pPr>
      <w:r>
        <w:rPr>
          <w:rFonts w:ascii="Arial" w:eastAsia="Times New Roman" w:hAnsi="Arial" w:cs="Arial"/>
          <w:color w:val="222222"/>
          <w:spacing w:val="-5"/>
          <w:sz w:val="41"/>
          <w:szCs w:val="41"/>
          <w:lang w:eastAsia="it-IT"/>
        </w:rPr>
        <w:t>INDIRIZZO MAIL RSU</w:t>
      </w:r>
    </w:p>
    <w:p w:rsidR="006031B3" w:rsidRDefault="006031B3" w:rsidP="006031B3">
      <w:pPr>
        <w:spacing w:before="450" w:after="300" w:line="570" w:lineRule="atLeast"/>
        <w:outlineLvl w:val="1"/>
        <w:rPr>
          <w:rFonts w:ascii="Arial" w:eastAsia="Times New Roman" w:hAnsi="Arial" w:cs="Arial"/>
          <w:color w:val="222222"/>
          <w:spacing w:val="-5"/>
          <w:sz w:val="41"/>
          <w:szCs w:val="41"/>
          <w:lang w:eastAsia="it-IT"/>
        </w:rPr>
      </w:pPr>
      <w:hyperlink r:id="rId4" w:history="1">
        <w:r w:rsidRPr="00A21C11">
          <w:rPr>
            <w:rStyle w:val="Collegamentoipertestuale"/>
            <w:rFonts w:ascii="Arial" w:eastAsia="Times New Roman" w:hAnsi="Arial" w:cs="Arial"/>
            <w:spacing w:val="-5"/>
            <w:sz w:val="41"/>
            <w:szCs w:val="41"/>
            <w:lang w:eastAsia="it-IT"/>
          </w:rPr>
          <w:t>rsu@icsavinisangiuseppesangiorgio.edu.it</w:t>
        </w:r>
      </w:hyperlink>
    </w:p>
    <w:p w:rsidR="006031B3" w:rsidRDefault="006031B3" w:rsidP="006031B3">
      <w:pPr>
        <w:spacing w:before="450" w:after="300" w:line="570" w:lineRule="atLeast"/>
        <w:outlineLvl w:val="1"/>
        <w:rPr>
          <w:rFonts w:ascii="Arial" w:eastAsia="Times New Roman" w:hAnsi="Arial" w:cs="Arial"/>
          <w:color w:val="222222"/>
          <w:spacing w:val="-5"/>
          <w:sz w:val="41"/>
          <w:szCs w:val="41"/>
          <w:lang w:eastAsia="it-IT"/>
        </w:rPr>
      </w:pPr>
      <w:bookmarkStart w:id="0" w:name="_GoBack"/>
      <w:bookmarkEnd w:id="0"/>
    </w:p>
    <w:p w:rsidR="006031B3" w:rsidRPr="006031B3" w:rsidRDefault="006031B3" w:rsidP="006031B3">
      <w:pPr>
        <w:spacing w:before="450" w:after="300" w:line="570" w:lineRule="atLeast"/>
        <w:outlineLvl w:val="1"/>
        <w:rPr>
          <w:rFonts w:ascii="Arial" w:eastAsia="Times New Roman" w:hAnsi="Arial" w:cs="Arial"/>
          <w:color w:val="222222"/>
          <w:spacing w:val="-5"/>
          <w:sz w:val="41"/>
          <w:szCs w:val="41"/>
          <w:lang w:eastAsia="it-IT"/>
        </w:rPr>
      </w:pPr>
      <w:r w:rsidRPr="006031B3">
        <w:rPr>
          <w:rFonts w:ascii="Arial" w:eastAsia="Times New Roman" w:hAnsi="Arial" w:cs="Arial"/>
          <w:color w:val="222222"/>
          <w:spacing w:val="-5"/>
          <w:sz w:val="41"/>
          <w:szCs w:val="41"/>
          <w:lang w:eastAsia="it-IT"/>
        </w:rPr>
        <w:t>Compiti</w:t>
      </w:r>
      <w:r>
        <w:rPr>
          <w:rFonts w:ascii="Arial" w:eastAsia="Times New Roman" w:hAnsi="Arial" w:cs="Arial"/>
          <w:color w:val="222222"/>
          <w:spacing w:val="-5"/>
          <w:sz w:val="41"/>
          <w:szCs w:val="41"/>
          <w:lang w:eastAsia="it-IT"/>
        </w:rPr>
        <w:t xml:space="preserve"> RSU</w:t>
      </w:r>
    </w:p>
    <w:p w:rsidR="006031B3" w:rsidRPr="006031B3" w:rsidRDefault="006031B3" w:rsidP="006031B3">
      <w:pPr>
        <w:spacing w:after="360" w:line="360" w:lineRule="atLeast"/>
        <w:rPr>
          <w:rFonts w:ascii="Verdana" w:eastAsia="Times New Roman" w:hAnsi="Verdana" w:cs="Times New Roman"/>
          <w:color w:val="222222"/>
          <w:sz w:val="21"/>
          <w:szCs w:val="21"/>
          <w:lang w:eastAsia="it-IT"/>
        </w:rPr>
      </w:pPr>
      <w:r w:rsidRPr="006031B3">
        <w:rPr>
          <w:rFonts w:ascii="Verdana" w:eastAsia="Times New Roman" w:hAnsi="Verdana" w:cs="Times New Roman"/>
          <w:color w:val="222222"/>
          <w:sz w:val="21"/>
          <w:szCs w:val="21"/>
          <w:lang w:eastAsia="it-IT"/>
        </w:rPr>
        <w:t>Fra i compiti della RSU previsti rientra la possibilità di organizzare assemblee e/o incontri fra tutto il personale dell’istituzione, al fine di comunicare gli esiti:</w:t>
      </w:r>
      <w:r w:rsidRPr="006031B3">
        <w:rPr>
          <w:rFonts w:ascii="Verdana" w:eastAsia="Times New Roman" w:hAnsi="Verdana" w:cs="Times New Roman"/>
          <w:color w:val="222222"/>
          <w:sz w:val="21"/>
          <w:szCs w:val="21"/>
          <w:lang w:eastAsia="it-IT"/>
        </w:rPr>
        <w:br/>
        <w:t>• della</w:t>
      </w:r>
      <w:r w:rsidRPr="006031B3">
        <w:rPr>
          <w:rFonts w:ascii="Verdana" w:eastAsia="Times New Roman" w:hAnsi="Verdana" w:cs="Times New Roman"/>
          <w:b/>
          <w:bCs/>
          <w:color w:val="222222"/>
          <w:sz w:val="21"/>
          <w:szCs w:val="21"/>
          <w:lang w:eastAsia="it-IT"/>
        </w:rPr>
        <w:t> contrattazione</w:t>
      </w:r>
      <w:r w:rsidRPr="006031B3">
        <w:rPr>
          <w:rFonts w:ascii="Verdana" w:eastAsia="Times New Roman" w:hAnsi="Verdana" w:cs="Times New Roman"/>
          <w:color w:val="222222"/>
          <w:sz w:val="21"/>
          <w:szCs w:val="21"/>
          <w:lang w:eastAsia="it-IT"/>
        </w:rPr>
        <w:t>,</w:t>
      </w:r>
      <w:r w:rsidRPr="006031B3">
        <w:rPr>
          <w:rFonts w:ascii="Verdana" w:eastAsia="Times New Roman" w:hAnsi="Verdana" w:cs="Times New Roman"/>
          <w:color w:val="222222"/>
          <w:sz w:val="21"/>
          <w:szCs w:val="21"/>
          <w:lang w:eastAsia="it-IT"/>
        </w:rPr>
        <w:br/>
        <w:t>• del </w:t>
      </w:r>
      <w:r w:rsidRPr="006031B3">
        <w:rPr>
          <w:rFonts w:ascii="Verdana" w:eastAsia="Times New Roman" w:hAnsi="Verdana" w:cs="Times New Roman"/>
          <w:b/>
          <w:bCs/>
          <w:color w:val="222222"/>
          <w:sz w:val="21"/>
          <w:szCs w:val="21"/>
          <w:lang w:eastAsia="it-IT"/>
        </w:rPr>
        <w:t>confronto</w:t>
      </w:r>
      <w:r w:rsidRPr="006031B3">
        <w:rPr>
          <w:rFonts w:ascii="Verdana" w:eastAsia="Times New Roman" w:hAnsi="Verdana" w:cs="Times New Roman"/>
          <w:color w:val="222222"/>
          <w:sz w:val="21"/>
          <w:szCs w:val="21"/>
          <w:lang w:eastAsia="it-IT"/>
        </w:rPr>
        <w:br/>
        <w:t>• dell’</w:t>
      </w:r>
      <w:r w:rsidRPr="006031B3">
        <w:rPr>
          <w:rFonts w:ascii="Verdana" w:eastAsia="Times New Roman" w:hAnsi="Verdana" w:cs="Times New Roman"/>
          <w:b/>
          <w:bCs/>
          <w:color w:val="222222"/>
          <w:sz w:val="21"/>
          <w:szCs w:val="21"/>
          <w:lang w:eastAsia="it-IT"/>
        </w:rPr>
        <w:t>informazione</w:t>
      </w:r>
      <w:r w:rsidRPr="006031B3">
        <w:rPr>
          <w:rFonts w:ascii="Verdana" w:eastAsia="Times New Roman" w:hAnsi="Verdana" w:cs="Times New Roman"/>
          <w:color w:val="222222"/>
          <w:sz w:val="21"/>
          <w:szCs w:val="21"/>
          <w:lang w:eastAsia="it-IT"/>
        </w:rPr>
        <w:br/>
        <w:t>con il Dirigente Scolastico i cui argomenti sono indicati all’</w:t>
      </w:r>
      <w:r w:rsidRPr="006031B3">
        <w:rPr>
          <w:rFonts w:ascii="Verdana" w:eastAsia="Times New Roman" w:hAnsi="Verdana" w:cs="Times New Roman"/>
          <w:b/>
          <w:bCs/>
          <w:color w:val="222222"/>
          <w:sz w:val="21"/>
          <w:szCs w:val="21"/>
          <w:lang w:eastAsia="it-IT"/>
        </w:rPr>
        <w:t>art. 30 del CCNL 2019/2021</w:t>
      </w:r>
      <w:r w:rsidRPr="006031B3">
        <w:rPr>
          <w:rFonts w:ascii="Verdana" w:eastAsia="Times New Roman" w:hAnsi="Verdana" w:cs="Times New Roman"/>
          <w:color w:val="222222"/>
          <w:sz w:val="21"/>
          <w:szCs w:val="21"/>
          <w:lang w:eastAsia="it-IT"/>
        </w:rPr>
        <w:t>.</w:t>
      </w:r>
    </w:p>
    <w:p w:rsidR="006031B3" w:rsidRPr="006031B3" w:rsidRDefault="006031B3" w:rsidP="006031B3">
      <w:pPr>
        <w:spacing w:before="450" w:after="300" w:line="570" w:lineRule="atLeast"/>
        <w:outlineLvl w:val="1"/>
        <w:rPr>
          <w:rFonts w:ascii="Arial" w:eastAsia="Times New Roman" w:hAnsi="Arial" w:cs="Arial"/>
          <w:color w:val="222222"/>
          <w:spacing w:val="-5"/>
          <w:sz w:val="41"/>
          <w:szCs w:val="41"/>
          <w:lang w:eastAsia="it-IT"/>
        </w:rPr>
      </w:pPr>
      <w:r w:rsidRPr="006031B3">
        <w:rPr>
          <w:rFonts w:ascii="Arial" w:eastAsia="Times New Roman" w:hAnsi="Arial" w:cs="Arial"/>
          <w:color w:val="222222"/>
          <w:spacing w:val="-5"/>
          <w:sz w:val="41"/>
          <w:szCs w:val="41"/>
          <w:lang w:eastAsia="it-IT"/>
        </w:rPr>
        <w:t>Contrattazione</w:t>
      </w:r>
    </w:p>
    <w:p w:rsidR="006031B3" w:rsidRPr="006031B3" w:rsidRDefault="006031B3" w:rsidP="006031B3">
      <w:pPr>
        <w:spacing w:after="360" w:line="360" w:lineRule="atLeast"/>
        <w:rPr>
          <w:rFonts w:ascii="Verdana" w:eastAsia="Times New Roman" w:hAnsi="Verdana" w:cs="Times New Roman"/>
          <w:color w:val="222222"/>
          <w:sz w:val="21"/>
          <w:szCs w:val="21"/>
          <w:lang w:eastAsia="it-IT"/>
        </w:rPr>
      </w:pPr>
      <w:r w:rsidRPr="006031B3">
        <w:rPr>
          <w:rFonts w:ascii="Verdana" w:eastAsia="Times New Roman" w:hAnsi="Verdana" w:cs="Times New Roman"/>
          <w:color w:val="222222"/>
          <w:sz w:val="21"/>
          <w:szCs w:val="21"/>
          <w:lang w:eastAsia="it-IT"/>
        </w:rPr>
        <w:t>Sono a</w:t>
      </w:r>
      <w:r w:rsidRPr="006031B3">
        <w:rPr>
          <w:rFonts w:ascii="Verdana" w:eastAsia="Times New Roman" w:hAnsi="Verdana" w:cs="Times New Roman"/>
          <w:b/>
          <w:bCs/>
          <w:color w:val="222222"/>
          <w:sz w:val="21"/>
          <w:szCs w:val="21"/>
          <w:lang w:eastAsia="it-IT"/>
        </w:rPr>
        <w:t>rgomenti di contrattazione</w:t>
      </w:r>
      <w:r w:rsidRPr="006031B3">
        <w:rPr>
          <w:rFonts w:ascii="Verdana" w:eastAsia="Times New Roman" w:hAnsi="Verdana" w:cs="Times New Roman"/>
          <w:color w:val="222222"/>
          <w:sz w:val="21"/>
          <w:szCs w:val="21"/>
          <w:lang w:eastAsia="it-IT"/>
        </w:rPr>
        <w:t>:</w:t>
      </w:r>
      <w:r w:rsidRPr="006031B3">
        <w:rPr>
          <w:rFonts w:ascii="Verdana" w:eastAsia="Times New Roman" w:hAnsi="Verdana" w:cs="Times New Roman"/>
          <w:color w:val="222222"/>
          <w:sz w:val="21"/>
          <w:szCs w:val="21"/>
          <w:lang w:eastAsia="it-IT"/>
        </w:rPr>
        <w:br/>
        <w:t>• i criteri generali per gli interventi rivolti alla prevenzione ed alla </w:t>
      </w:r>
      <w:r w:rsidRPr="006031B3">
        <w:rPr>
          <w:rFonts w:ascii="Verdana" w:eastAsia="Times New Roman" w:hAnsi="Verdana" w:cs="Times New Roman"/>
          <w:b/>
          <w:bCs/>
          <w:color w:val="222222"/>
          <w:sz w:val="21"/>
          <w:szCs w:val="21"/>
          <w:lang w:eastAsia="it-IT"/>
        </w:rPr>
        <w:t>sicurezza nei luoghi di lavoro;</w:t>
      </w:r>
      <w:r w:rsidRPr="006031B3">
        <w:rPr>
          <w:rFonts w:ascii="Verdana" w:eastAsia="Times New Roman" w:hAnsi="Verdana" w:cs="Times New Roman"/>
          <w:color w:val="222222"/>
          <w:sz w:val="21"/>
          <w:szCs w:val="21"/>
          <w:lang w:eastAsia="it-IT"/>
        </w:rPr>
        <w:br/>
        <w:t>• i criteri per la </w:t>
      </w:r>
      <w:r w:rsidRPr="006031B3">
        <w:rPr>
          <w:rFonts w:ascii="Verdana" w:eastAsia="Times New Roman" w:hAnsi="Verdana" w:cs="Times New Roman"/>
          <w:b/>
          <w:bCs/>
          <w:color w:val="222222"/>
          <w:sz w:val="21"/>
          <w:szCs w:val="21"/>
          <w:lang w:eastAsia="it-IT"/>
        </w:rPr>
        <w:t>ripartizione delle risorse</w:t>
      </w:r>
      <w:r w:rsidRPr="006031B3">
        <w:rPr>
          <w:rFonts w:ascii="Verdana" w:eastAsia="Times New Roman" w:hAnsi="Verdana" w:cs="Times New Roman"/>
          <w:color w:val="222222"/>
          <w:sz w:val="21"/>
          <w:szCs w:val="21"/>
          <w:lang w:eastAsia="it-IT"/>
        </w:rPr>
        <w:t> del fondo per il miglioramento dell’offerta formativa e per la determinazione dei compensi;</w:t>
      </w:r>
      <w:r w:rsidRPr="006031B3">
        <w:rPr>
          <w:rFonts w:ascii="Verdana" w:eastAsia="Times New Roman" w:hAnsi="Verdana" w:cs="Times New Roman"/>
          <w:color w:val="222222"/>
          <w:sz w:val="21"/>
          <w:szCs w:val="21"/>
          <w:lang w:eastAsia="it-IT"/>
        </w:rPr>
        <w:br/>
        <w:t>• i criteri per l’a</w:t>
      </w:r>
      <w:r w:rsidRPr="006031B3">
        <w:rPr>
          <w:rFonts w:ascii="Verdana" w:eastAsia="Times New Roman" w:hAnsi="Verdana" w:cs="Times New Roman"/>
          <w:b/>
          <w:bCs/>
          <w:color w:val="222222"/>
          <w:sz w:val="21"/>
          <w:szCs w:val="21"/>
          <w:lang w:eastAsia="it-IT"/>
        </w:rPr>
        <w:t>ttribuzione e la determinazione di compensi accessori, </w:t>
      </w:r>
      <w:r w:rsidRPr="006031B3">
        <w:rPr>
          <w:rFonts w:ascii="Verdana" w:eastAsia="Times New Roman" w:hAnsi="Verdana" w:cs="Times New Roman"/>
          <w:color w:val="222222"/>
          <w:sz w:val="21"/>
          <w:szCs w:val="21"/>
          <w:lang w:eastAsia="it-IT"/>
        </w:rPr>
        <w:t>ai sensi dell’art. 45, comma 1, del d.lgs. n. 165 del 2001 al personale docente, educativo ed ATA, inclusa la quota delle risorse relative ai percorsi per le competenze trasversali ed orientamento e di tutte le risorse relative ai progetti nazionali e comunitari eventualmente destinate alla remunerazione del personale;</w:t>
      </w:r>
      <w:r w:rsidRPr="006031B3">
        <w:rPr>
          <w:rFonts w:ascii="Verdana" w:eastAsia="Times New Roman" w:hAnsi="Verdana" w:cs="Times New Roman"/>
          <w:color w:val="222222"/>
          <w:sz w:val="21"/>
          <w:szCs w:val="21"/>
          <w:lang w:eastAsia="it-IT"/>
        </w:rPr>
        <w:br/>
        <w:t>• i criteri generali per la determinazione dei </w:t>
      </w:r>
      <w:r w:rsidRPr="006031B3">
        <w:rPr>
          <w:rFonts w:ascii="Verdana" w:eastAsia="Times New Roman" w:hAnsi="Verdana" w:cs="Times New Roman"/>
          <w:b/>
          <w:bCs/>
          <w:color w:val="222222"/>
          <w:sz w:val="21"/>
          <w:szCs w:val="21"/>
          <w:lang w:eastAsia="it-IT"/>
        </w:rPr>
        <w:t>compensi finalizzati alla valorizzazione del personale</w:t>
      </w:r>
      <w:r w:rsidRPr="006031B3">
        <w:rPr>
          <w:rFonts w:ascii="Verdana" w:eastAsia="Times New Roman" w:hAnsi="Verdana" w:cs="Times New Roman"/>
          <w:color w:val="222222"/>
          <w:sz w:val="21"/>
          <w:szCs w:val="21"/>
          <w:lang w:eastAsia="it-IT"/>
        </w:rPr>
        <w:t>, ivi compresi quelli riconosciuti al personale dall’art. 1, comma 249 della legge n. 160 del 2019;</w:t>
      </w:r>
      <w:r w:rsidRPr="006031B3">
        <w:rPr>
          <w:rFonts w:ascii="Verdana" w:eastAsia="Times New Roman" w:hAnsi="Verdana" w:cs="Times New Roman"/>
          <w:color w:val="222222"/>
          <w:sz w:val="21"/>
          <w:szCs w:val="21"/>
          <w:lang w:eastAsia="it-IT"/>
        </w:rPr>
        <w:br/>
        <w:t>• i criteri per l’</w:t>
      </w:r>
      <w:r w:rsidRPr="006031B3">
        <w:rPr>
          <w:rFonts w:ascii="Verdana" w:eastAsia="Times New Roman" w:hAnsi="Verdana" w:cs="Times New Roman"/>
          <w:b/>
          <w:bCs/>
          <w:color w:val="222222"/>
          <w:sz w:val="21"/>
          <w:szCs w:val="21"/>
          <w:lang w:eastAsia="it-IT"/>
        </w:rPr>
        <w:t>utilizzo dei permessi sindacali </w:t>
      </w:r>
      <w:r w:rsidRPr="006031B3">
        <w:rPr>
          <w:rFonts w:ascii="Verdana" w:eastAsia="Times New Roman" w:hAnsi="Verdana" w:cs="Times New Roman"/>
          <w:color w:val="222222"/>
          <w:sz w:val="21"/>
          <w:szCs w:val="21"/>
          <w:lang w:eastAsia="it-IT"/>
        </w:rPr>
        <w:t xml:space="preserve">ai sensi dell’art. 10 del CCNQ 4/12/2017 e </w:t>
      </w:r>
      <w:proofErr w:type="spellStart"/>
      <w:r w:rsidRPr="006031B3">
        <w:rPr>
          <w:rFonts w:ascii="Verdana" w:eastAsia="Times New Roman" w:hAnsi="Verdana" w:cs="Times New Roman"/>
          <w:color w:val="222222"/>
          <w:sz w:val="21"/>
          <w:szCs w:val="21"/>
          <w:lang w:eastAsia="it-IT"/>
        </w:rPr>
        <w:t>s.m.i.</w:t>
      </w:r>
      <w:proofErr w:type="spellEnd"/>
      <w:r w:rsidRPr="006031B3">
        <w:rPr>
          <w:rFonts w:ascii="Verdana" w:eastAsia="Times New Roman" w:hAnsi="Verdana" w:cs="Times New Roman"/>
          <w:color w:val="222222"/>
          <w:sz w:val="21"/>
          <w:szCs w:val="21"/>
          <w:lang w:eastAsia="it-IT"/>
        </w:rPr>
        <w:t>;</w:t>
      </w:r>
      <w:r w:rsidRPr="006031B3">
        <w:rPr>
          <w:rFonts w:ascii="Verdana" w:eastAsia="Times New Roman" w:hAnsi="Verdana" w:cs="Times New Roman"/>
          <w:color w:val="222222"/>
          <w:sz w:val="21"/>
          <w:szCs w:val="21"/>
          <w:lang w:eastAsia="it-IT"/>
        </w:rPr>
        <w:br/>
        <w:t>• i criteri per l’individuazione di f</w:t>
      </w:r>
      <w:r w:rsidRPr="006031B3">
        <w:rPr>
          <w:rFonts w:ascii="Verdana" w:eastAsia="Times New Roman" w:hAnsi="Verdana" w:cs="Times New Roman"/>
          <w:b/>
          <w:bCs/>
          <w:color w:val="222222"/>
          <w:sz w:val="21"/>
          <w:szCs w:val="21"/>
          <w:lang w:eastAsia="it-IT"/>
        </w:rPr>
        <w:t>asce temporali di flessibilità oraria </w:t>
      </w:r>
      <w:r w:rsidRPr="006031B3">
        <w:rPr>
          <w:rFonts w:ascii="Verdana" w:eastAsia="Times New Roman" w:hAnsi="Verdana" w:cs="Times New Roman"/>
          <w:color w:val="222222"/>
          <w:sz w:val="21"/>
          <w:szCs w:val="21"/>
          <w:lang w:eastAsia="it-IT"/>
        </w:rPr>
        <w:t>in entrata e in uscita per il </w:t>
      </w:r>
      <w:r w:rsidRPr="006031B3">
        <w:rPr>
          <w:rFonts w:ascii="Verdana" w:eastAsia="Times New Roman" w:hAnsi="Verdana" w:cs="Times New Roman"/>
          <w:b/>
          <w:bCs/>
          <w:color w:val="222222"/>
          <w:sz w:val="21"/>
          <w:szCs w:val="21"/>
          <w:lang w:eastAsia="it-IT"/>
        </w:rPr>
        <w:t>personale ATA,</w:t>
      </w:r>
      <w:r w:rsidRPr="006031B3">
        <w:rPr>
          <w:rFonts w:ascii="Verdana" w:eastAsia="Times New Roman" w:hAnsi="Verdana" w:cs="Times New Roman"/>
          <w:color w:val="222222"/>
          <w:sz w:val="21"/>
          <w:szCs w:val="21"/>
          <w:lang w:eastAsia="it-IT"/>
        </w:rPr>
        <w:t xml:space="preserve"> al fine di conseguire una maggiore conciliazione tra vita </w:t>
      </w:r>
      <w:r w:rsidRPr="006031B3">
        <w:rPr>
          <w:rFonts w:ascii="Verdana" w:eastAsia="Times New Roman" w:hAnsi="Verdana" w:cs="Times New Roman"/>
          <w:color w:val="222222"/>
          <w:sz w:val="21"/>
          <w:szCs w:val="21"/>
          <w:lang w:eastAsia="it-IT"/>
        </w:rPr>
        <w:lastRenderedPageBreak/>
        <w:t>lavorativa e vita familiare;</w:t>
      </w:r>
      <w:r w:rsidRPr="006031B3">
        <w:rPr>
          <w:rFonts w:ascii="Verdana" w:eastAsia="Times New Roman" w:hAnsi="Verdana" w:cs="Times New Roman"/>
          <w:color w:val="222222"/>
          <w:sz w:val="21"/>
          <w:szCs w:val="21"/>
          <w:lang w:eastAsia="it-IT"/>
        </w:rPr>
        <w:br/>
        <w:t>• i criteri generali di </w:t>
      </w:r>
      <w:r w:rsidRPr="006031B3">
        <w:rPr>
          <w:rFonts w:ascii="Verdana" w:eastAsia="Times New Roman" w:hAnsi="Verdana" w:cs="Times New Roman"/>
          <w:b/>
          <w:bCs/>
          <w:color w:val="222222"/>
          <w:sz w:val="21"/>
          <w:szCs w:val="21"/>
          <w:lang w:eastAsia="it-IT"/>
        </w:rPr>
        <w:t>ripartizione delle risorse per la formazione del personale</w:t>
      </w:r>
      <w:r w:rsidRPr="006031B3">
        <w:rPr>
          <w:rFonts w:ascii="Verdana" w:eastAsia="Times New Roman" w:hAnsi="Verdana" w:cs="Times New Roman"/>
          <w:color w:val="222222"/>
          <w:sz w:val="21"/>
          <w:szCs w:val="21"/>
          <w:lang w:eastAsia="it-IT"/>
        </w:rPr>
        <w:t> nel rispetto degli obiettivi e delle finalità definiti a livello nazionale con il Piano nazionale di formazione dei docenti;</w:t>
      </w:r>
      <w:r w:rsidRPr="006031B3">
        <w:rPr>
          <w:rFonts w:ascii="Verdana" w:eastAsia="Times New Roman" w:hAnsi="Verdana" w:cs="Times New Roman"/>
          <w:color w:val="222222"/>
          <w:sz w:val="21"/>
          <w:szCs w:val="21"/>
          <w:lang w:eastAsia="it-IT"/>
        </w:rPr>
        <w:br/>
        <w:t>• i criteri generali per l</w:t>
      </w:r>
      <w:r w:rsidRPr="006031B3">
        <w:rPr>
          <w:rFonts w:ascii="Verdana" w:eastAsia="Times New Roman" w:hAnsi="Verdana" w:cs="Times New Roman"/>
          <w:b/>
          <w:bCs/>
          <w:color w:val="222222"/>
          <w:sz w:val="21"/>
          <w:szCs w:val="21"/>
          <w:lang w:eastAsia="it-IT"/>
        </w:rPr>
        <w:t>’utilizzo di strumentazioni tecnologiche</w:t>
      </w:r>
      <w:r w:rsidRPr="006031B3">
        <w:rPr>
          <w:rFonts w:ascii="Verdana" w:eastAsia="Times New Roman" w:hAnsi="Verdana" w:cs="Times New Roman"/>
          <w:color w:val="222222"/>
          <w:sz w:val="21"/>
          <w:szCs w:val="21"/>
          <w:lang w:eastAsia="it-IT"/>
        </w:rPr>
        <w:t> di lavoro in orario diverso da quello di servizio, al fine di una maggiore conciliazione tra vita lavorativa e vita familiare (diritto alla disconnessione);</w:t>
      </w:r>
      <w:r w:rsidRPr="006031B3">
        <w:rPr>
          <w:rFonts w:ascii="Verdana" w:eastAsia="Times New Roman" w:hAnsi="Verdana" w:cs="Times New Roman"/>
          <w:color w:val="222222"/>
          <w:sz w:val="21"/>
          <w:szCs w:val="21"/>
          <w:lang w:eastAsia="it-IT"/>
        </w:rPr>
        <w:br/>
        <w:t>• i riflessi sulla </w:t>
      </w:r>
      <w:r w:rsidRPr="006031B3">
        <w:rPr>
          <w:rFonts w:ascii="Verdana" w:eastAsia="Times New Roman" w:hAnsi="Verdana" w:cs="Times New Roman"/>
          <w:b/>
          <w:bCs/>
          <w:color w:val="222222"/>
          <w:sz w:val="21"/>
          <w:szCs w:val="21"/>
          <w:lang w:eastAsia="it-IT"/>
        </w:rPr>
        <w:t>qualità del lavoro e sulla professionalità</w:t>
      </w:r>
      <w:r w:rsidRPr="006031B3">
        <w:rPr>
          <w:rFonts w:ascii="Verdana" w:eastAsia="Times New Roman" w:hAnsi="Verdana" w:cs="Times New Roman"/>
          <w:color w:val="222222"/>
          <w:sz w:val="21"/>
          <w:szCs w:val="21"/>
          <w:lang w:eastAsia="it-IT"/>
        </w:rPr>
        <w:t> delle innovazioni tecnologiche e dei processi di informatizzazione inerenti ai servizi amministrativi e a supporto dell’attività scolastica;</w:t>
      </w:r>
      <w:r w:rsidRPr="006031B3">
        <w:rPr>
          <w:rFonts w:ascii="Verdana" w:eastAsia="Times New Roman" w:hAnsi="Verdana" w:cs="Times New Roman"/>
          <w:color w:val="222222"/>
          <w:sz w:val="21"/>
          <w:szCs w:val="21"/>
          <w:lang w:eastAsia="it-IT"/>
        </w:rPr>
        <w:br/>
        <w:t>• il personale tenuto ad </w:t>
      </w:r>
      <w:r w:rsidRPr="006031B3">
        <w:rPr>
          <w:rFonts w:ascii="Verdana" w:eastAsia="Times New Roman" w:hAnsi="Verdana" w:cs="Times New Roman"/>
          <w:b/>
          <w:bCs/>
          <w:color w:val="222222"/>
          <w:sz w:val="21"/>
          <w:szCs w:val="21"/>
          <w:lang w:eastAsia="it-IT"/>
        </w:rPr>
        <w:t>assicurare i servizi essenziali</w:t>
      </w:r>
      <w:r w:rsidRPr="006031B3">
        <w:rPr>
          <w:rFonts w:ascii="Verdana" w:eastAsia="Times New Roman" w:hAnsi="Verdana" w:cs="Times New Roman"/>
          <w:color w:val="222222"/>
          <w:sz w:val="21"/>
          <w:szCs w:val="21"/>
          <w:lang w:eastAsia="it-IT"/>
        </w:rPr>
        <w:t> relativi alla vigilanza agli ingressi alla scuola e ad altre attività indifferibili coincidenti con l’assemblea sindacale;</w:t>
      </w:r>
      <w:r w:rsidRPr="006031B3">
        <w:rPr>
          <w:rFonts w:ascii="Verdana" w:eastAsia="Times New Roman" w:hAnsi="Verdana" w:cs="Times New Roman"/>
          <w:color w:val="222222"/>
          <w:sz w:val="21"/>
          <w:szCs w:val="21"/>
          <w:lang w:eastAsia="it-IT"/>
        </w:rPr>
        <w:br/>
        <w:t>• i criteri di </w:t>
      </w:r>
      <w:r w:rsidRPr="006031B3">
        <w:rPr>
          <w:rFonts w:ascii="Verdana" w:eastAsia="Times New Roman" w:hAnsi="Verdana" w:cs="Times New Roman"/>
          <w:b/>
          <w:bCs/>
          <w:color w:val="222222"/>
          <w:sz w:val="21"/>
          <w:szCs w:val="21"/>
          <w:lang w:eastAsia="it-IT"/>
        </w:rPr>
        <w:t>utilizzo delle risorse finanziarie</w:t>
      </w:r>
      <w:r w:rsidRPr="006031B3">
        <w:rPr>
          <w:rFonts w:ascii="Verdana" w:eastAsia="Times New Roman" w:hAnsi="Verdana" w:cs="Times New Roman"/>
          <w:color w:val="222222"/>
          <w:sz w:val="21"/>
          <w:szCs w:val="21"/>
          <w:lang w:eastAsia="it-IT"/>
        </w:rPr>
        <w:t> e la determinazione della misura dei compensi di cui al decreto del MIM n. 63 del 5 aprile 2023.</w:t>
      </w:r>
      <w:r w:rsidRPr="006031B3">
        <w:rPr>
          <w:rFonts w:ascii="Verdana" w:eastAsia="Times New Roman" w:hAnsi="Verdana" w:cs="Times New Roman"/>
          <w:color w:val="222222"/>
          <w:sz w:val="21"/>
          <w:szCs w:val="21"/>
          <w:lang w:eastAsia="it-IT"/>
        </w:rPr>
        <w:br/>
        <w:t>• il Protocollo di intesa per la determinazione dei </w:t>
      </w:r>
      <w:r w:rsidRPr="006031B3">
        <w:rPr>
          <w:rFonts w:ascii="Verdana" w:eastAsia="Times New Roman" w:hAnsi="Verdana" w:cs="Times New Roman"/>
          <w:b/>
          <w:bCs/>
          <w:color w:val="222222"/>
          <w:sz w:val="21"/>
          <w:szCs w:val="21"/>
          <w:lang w:eastAsia="it-IT"/>
        </w:rPr>
        <w:t>contingenti di personale</w:t>
      </w:r>
      <w:r w:rsidRPr="006031B3">
        <w:rPr>
          <w:rFonts w:ascii="Verdana" w:eastAsia="Times New Roman" w:hAnsi="Verdana" w:cs="Times New Roman"/>
          <w:color w:val="222222"/>
          <w:sz w:val="21"/>
          <w:szCs w:val="21"/>
          <w:lang w:eastAsia="it-IT"/>
        </w:rPr>
        <w:t> previsti dall’accordo sulle norme di garanzia dei servizi pubblici essenziali e sulle procedure di raffreddamento e di conciliazione in caso di sciopero nel comparto Istruzione e Ricerca del 2 dicembre 2020 validata dalla Commissione di Garanzia con delibera 303 del 17 dicembre 2020, nei limiti, con i soggetti e con le modalità ivi previste.</w:t>
      </w:r>
    </w:p>
    <w:p w:rsidR="006031B3" w:rsidRPr="006031B3" w:rsidRDefault="006031B3" w:rsidP="006031B3">
      <w:pPr>
        <w:spacing w:before="450" w:after="300" w:line="570" w:lineRule="atLeast"/>
        <w:outlineLvl w:val="1"/>
        <w:rPr>
          <w:rFonts w:ascii="Arial" w:eastAsia="Times New Roman" w:hAnsi="Arial" w:cs="Arial"/>
          <w:color w:val="222222"/>
          <w:spacing w:val="-5"/>
          <w:sz w:val="41"/>
          <w:szCs w:val="41"/>
          <w:lang w:eastAsia="it-IT"/>
        </w:rPr>
      </w:pPr>
      <w:r w:rsidRPr="006031B3">
        <w:rPr>
          <w:rFonts w:ascii="Arial" w:eastAsia="Times New Roman" w:hAnsi="Arial" w:cs="Arial"/>
          <w:color w:val="222222"/>
          <w:spacing w:val="-5"/>
          <w:sz w:val="41"/>
          <w:szCs w:val="41"/>
          <w:lang w:eastAsia="it-IT"/>
        </w:rPr>
        <w:t>Confronto</w:t>
      </w:r>
    </w:p>
    <w:p w:rsidR="006031B3" w:rsidRDefault="006031B3" w:rsidP="006031B3">
      <w:pPr>
        <w:spacing w:after="360" w:line="360" w:lineRule="atLeast"/>
        <w:rPr>
          <w:rFonts w:ascii="Verdana" w:eastAsia="Times New Roman" w:hAnsi="Verdana" w:cs="Times New Roman"/>
          <w:color w:val="222222"/>
          <w:sz w:val="21"/>
          <w:szCs w:val="21"/>
          <w:lang w:eastAsia="it-IT"/>
        </w:rPr>
      </w:pPr>
      <w:r w:rsidRPr="006031B3">
        <w:rPr>
          <w:rFonts w:ascii="Verdana" w:eastAsia="Times New Roman" w:hAnsi="Verdana" w:cs="Times New Roman"/>
          <w:color w:val="222222"/>
          <w:sz w:val="21"/>
          <w:szCs w:val="21"/>
          <w:lang w:eastAsia="it-IT"/>
        </w:rPr>
        <w:t>Sono </w:t>
      </w:r>
      <w:r w:rsidRPr="006031B3">
        <w:rPr>
          <w:rFonts w:ascii="Verdana" w:eastAsia="Times New Roman" w:hAnsi="Verdana" w:cs="Times New Roman"/>
          <w:b/>
          <w:bCs/>
          <w:color w:val="222222"/>
          <w:sz w:val="21"/>
          <w:szCs w:val="21"/>
          <w:lang w:eastAsia="it-IT"/>
        </w:rPr>
        <w:t>oggetto di confronto</w:t>
      </w:r>
      <w:r w:rsidRPr="006031B3">
        <w:rPr>
          <w:rFonts w:ascii="Verdana" w:eastAsia="Times New Roman" w:hAnsi="Verdana" w:cs="Times New Roman"/>
          <w:color w:val="222222"/>
          <w:sz w:val="21"/>
          <w:szCs w:val="21"/>
          <w:lang w:eastAsia="it-IT"/>
        </w:rPr>
        <w:t>:</w:t>
      </w:r>
      <w:r w:rsidRPr="006031B3">
        <w:rPr>
          <w:rFonts w:ascii="Verdana" w:eastAsia="Times New Roman" w:hAnsi="Verdana" w:cs="Times New Roman"/>
          <w:color w:val="222222"/>
          <w:sz w:val="21"/>
          <w:szCs w:val="21"/>
          <w:lang w:eastAsia="it-IT"/>
        </w:rPr>
        <w:br/>
        <w:t>• l’</w:t>
      </w:r>
      <w:r w:rsidRPr="006031B3">
        <w:rPr>
          <w:rFonts w:ascii="Verdana" w:eastAsia="Times New Roman" w:hAnsi="Verdana" w:cs="Times New Roman"/>
          <w:b/>
          <w:bCs/>
          <w:color w:val="222222"/>
          <w:sz w:val="21"/>
          <w:szCs w:val="21"/>
          <w:lang w:eastAsia="it-IT"/>
        </w:rPr>
        <w:t>articolazione dell’orario di lavoro</w:t>
      </w:r>
      <w:r w:rsidRPr="006031B3">
        <w:rPr>
          <w:rFonts w:ascii="Verdana" w:eastAsia="Times New Roman" w:hAnsi="Verdana" w:cs="Times New Roman"/>
          <w:color w:val="222222"/>
          <w:sz w:val="21"/>
          <w:szCs w:val="21"/>
          <w:lang w:eastAsia="it-IT"/>
        </w:rPr>
        <w:t> del personale docente, educativo ed ATA, nonché i criteri per l’individuazione del medesimo personale da utilizzare nelle attività retribuite con il fondo per il miglioramento dell’offerta formativa;</w:t>
      </w:r>
      <w:r w:rsidRPr="006031B3">
        <w:rPr>
          <w:rFonts w:ascii="Verdana" w:eastAsia="Times New Roman" w:hAnsi="Verdana" w:cs="Times New Roman"/>
          <w:color w:val="222222"/>
          <w:sz w:val="21"/>
          <w:szCs w:val="21"/>
          <w:lang w:eastAsia="it-IT"/>
        </w:rPr>
        <w:br/>
        <w:t>• i </w:t>
      </w:r>
      <w:r w:rsidRPr="006031B3">
        <w:rPr>
          <w:rFonts w:ascii="Verdana" w:eastAsia="Times New Roman" w:hAnsi="Verdana" w:cs="Times New Roman"/>
          <w:b/>
          <w:bCs/>
          <w:color w:val="222222"/>
          <w:sz w:val="21"/>
          <w:szCs w:val="21"/>
          <w:lang w:eastAsia="it-IT"/>
        </w:rPr>
        <w:t>criteri riguardanti le assegnazioni alle sedi di servizio </w:t>
      </w:r>
      <w:r w:rsidRPr="006031B3">
        <w:rPr>
          <w:rFonts w:ascii="Verdana" w:eastAsia="Times New Roman" w:hAnsi="Verdana" w:cs="Times New Roman"/>
          <w:color w:val="222222"/>
          <w:sz w:val="21"/>
          <w:szCs w:val="21"/>
          <w:lang w:eastAsia="it-IT"/>
        </w:rPr>
        <w:t>all’interno dell’istituzione scolastica del personale docente, educativo ed ATA;</w:t>
      </w:r>
      <w:r w:rsidRPr="006031B3">
        <w:rPr>
          <w:rFonts w:ascii="Verdana" w:eastAsia="Times New Roman" w:hAnsi="Verdana" w:cs="Times New Roman"/>
          <w:color w:val="222222"/>
          <w:sz w:val="21"/>
          <w:szCs w:val="21"/>
          <w:lang w:eastAsia="it-IT"/>
        </w:rPr>
        <w:br/>
        <w:t>• i criteri per la </w:t>
      </w:r>
      <w:r w:rsidRPr="006031B3">
        <w:rPr>
          <w:rFonts w:ascii="Verdana" w:eastAsia="Times New Roman" w:hAnsi="Verdana" w:cs="Times New Roman"/>
          <w:b/>
          <w:bCs/>
          <w:color w:val="222222"/>
          <w:sz w:val="21"/>
          <w:szCs w:val="21"/>
          <w:lang w:eastAsia="it-IT"/>
        </w:rPr>
        <w:t>fruizione dei permessi per l’aggiornamento;</w:t>
      </w:r>
      <w:r w:rsidRPr="006031B3">
        <w:rPr>
          <w:rFonts w:ascii="Verdana" w:eastAsia="Times New Roman" w:hAnsi="Verdana" w:cs="Times New Roman"/>
          <w:color w:val="222222"/>
          <w:sz w:val="21"/>
          <w:szCs w:val="21"/>
          <w:lang w:eastAsia="it-IT"/>
        </w:rPr>
        <w:br/>
        <w:t>• la promozione della legalità, della qualità del lavoro e del benessere organizzativo e i</w:t>
      </w:r>
      <w:r w:rsidRPr="006031B3">
        <w:rPr>
          <w:rFonts w:ascii="Verdana" w:eastAsia="Times New Roman" w:hAnsi="Verdana" w:cs="Times New Roman"/>
          <w:b/>
          <w:bCs/>
          <w:color w:val="222222"/>
          <w:sz w:val="21"/>
          <w:szCs w:val="21"/>
          <w:lang w:eastAsia="it-IT"/>
        </w:rPr>
        <w:t>ndividuazione delle misure di prevenzione dello stress lavoro-</w:t>
      </w:r>
      <w:r w:rsidRPr="006031B3">
        <w:rPr>
          <w:rFonts w:ascii="Verdana" w:eastAsia="Times New Roman" w:hAnsi="Verdana" w:cs="Times New Roman"/>
          <w:color w:val="222222"/>
          <w:sz w:val="21"/>
          <w:szCs w:val="21"/>
          <w:lang w:eastAsia="it-IT"/>
        </w:rPr>
        <w:t xml:space="preserve">correlato e di fenomeni di </w:t>
      </w:r>
      <w:proofErr w:type="spellStart"/>
      <w:r w:rsidRPr="006031B3">
        <w:rPr>
          <w:rFonts w:ascii="Verdana" w:eastAsia="Times New Roman" w:hAnsi="Verdana" w:cs="Times New Roman"/>
          <w:color w:val="222222"/>
          <w:sz w:val="21"/>
          <w:szCs w:val="21"/>
          <w:lang w:eastAsia="it-IT"/>
        </w:rPr>
        <w:t>burn</w:t>
      </w:r>
      <w:proofErr w:type="spellEnd"/>
      <w:r w:rsidRPr="006031B3">
        <w:rPr>
          <w:rFonts w:ascii="Verdana" w:eastAsia="Times New Roman" w:hAnsi="Verdana" w:cs="Times New Roman"/>
          <w:color w:val="222222"/>
          <w:sz w:val="21"/>
          <w:szCs w:val="21"/>
          <w:lang w:eastAsia="it-IT"/>
        </w:rPr>
        <w:t>-out;</w:t>
      </w:r>
      <w:r w:rsidRPr="006031B3">
        <w:rPr>
          <w:rFonts w:ascii="Verdana" w:eastAsia="Times New Roman" w:hAnsi="Verdana" w:cs="Times New Roman"/>
          <w:color w:val="222222"/>
          <w:sz w:val="21"/>
          <w:szCs w:val="21"/>
          <w:lang w:eastAsia="it-IT"/>
        </w:rPr>
        <w:br/>
        <w:t>• i criteri generali delle m</w:t>
      </w:r>
      <w:r w:rsidRPr="006031B3">
        <w:rPr>
          <w:rFonts w:ascii="Verdana" w:eastAsia="Times New Roman" w:hAnsi="Verdana" w:cs="Times New Roman"/>
          <w:b/>
          <w:bCs/>
          <w:color w:val="222222"/>
          <w:sz w:val="21"/>
          <w:szCs w:val="21"/>
          <w:lang w:eastAsia="it-IT"/>
        </w:rPr>
        <w:t>odalità attuative del lavoro agile e del lavoro da remoto</w:t>
      </w:r>
      <w:r w:rsidRPr="006031B3">
        <w:rPr>
          <w:rFonts w:ascii="Verdana" w:eastAsia="Times New Roman" w:hAnsi="Verdana" w:cs="Times New Roman"/>
          <w:color w:val="222222"/>
          <w:sz w:val="21"/>
          <w:szCs w:val="21"/>
          <w:lang w:eastAsia="it-IT"/>
        </w:rPr>
        <w:t> nonché i criteri di priorità per l’accesso agli stessi b6) i criteri per il conferimento degli incarichi al personale ATA.</w:t>
      </w:r>
    </w:p>
    <w:p w:rsidR="006031B3" w:rsidRDefault="006031B3" w:rsidP="006031B3">
      <w:pPr>
        <w:spacing w:after="360" w:line="360" w:lineRule="atLeast"/>
        <w:rPr>
          <w:rFonts w:ascii="Verdana" w:eastAsia="Times New Roman" w:hAnsi="Verdana" w:cs="Times New Roman"/>
          <w:color w:val="222222"/>
          <w:sz w:val="21"/>
          <w:szCs w:val="21"/>
          <w:lang w:eastAsia="it-IT"/>
        </w:rPr>
      </w:pPr>
    </w:p>
    <w:p w:rsidR="006031B3" w:rsidRPr="006031B3" w:rsidRDefault="006031B3" w:rsidP="006031B3">
      <w:pPr>
        <w:shd w:val="clear" w:color="auto" w:fill="FFFFFF"/>
        <w:spacing w:before="450" w:after="300" w:line="570" w:lineRule="atLeast"/>
        <w:outlineLvl w:val="1"/>
        <w:rPr>
          <w:rFonts w:ascii="Arial" w:eastAsia="Times New Roman" w:hAnsi="Arial" w:cs="Arial"/>
          <w:color w:val="222222"/>
          <w:spacing w:val="-5"/>
          <w:sz w:val="41"/>
          <w:szCs w:val="41"/>
          <w:lang w:eastAsia="it-IT"/>
        </w:rPr>
      </w:pPr>
      <w:r w:rsidRPr="006031B3">
        <w:rPr>
          <w:rFonts w:ascii="Arial" w:eastAsia="Times New Roman" w:hAnsi="Arial" w:cs="Arial"/>
          <w:color w:val="222222"/>
          <w:spacing w:val="-5"/>
          <w:sz w:val="41"/>
          <w:szCs w:val="41"/>
          <w:lang w:eastAsia="it-IT"/>
        </w:rPr>
        <w:lastRenderedPageBreak/>
        <w:t>Informazione</w:t>
      </w:r>
    </w:p>
    <w:p w:rsidR="00110D2C" w:rsidRPr="006031B3" w:rsidRDefault="006031B3" w:rsidP="006031B3">
      <w:pPr>
        <w:shd w:val="clear" w:color="auto" w:fill="FFFFFF"/>
        <w:spacing w:after="360" w:line="360" w:lineRule="atLeast"/>
        <w:rPr>
          <w:rFonts w:ascii="Verdana" w:eastAsia="Times New Roman" w:hAnsi="Verdana" w:cs="Times New Roman"/>
          <w:color w:val="222222"/>
          <w:sz w:val="21"/>
          <w:szCs w:val="21"/>
          <w:lang w:eastAsia="it-IT"/>
        </w:rPr>
      </w:pPr>
      <w:r w:rsidRPr="006031B3">
        <w:rPr>
          <w:rFonts w:ascii="Verdana" w:eastAsia="Times New Roman" w:hAnsi="Verdana" w:cs="Times New Roman"/>
          <w:color w:val="222222"/>
          <w:sz w:val="21"/>
          <w:szCs w:val="21"/>
          <w:lang w:eastAsia="it-IT"/>
        </w:rPr>
        <w:t>Sono </w:t>
      </w:r>
      <w:r w:rsidRPr="006031B3">
        <w:rPr>
          <w:rFonts w:ascii="Verdana" w:eastAsia="Times New Roman" w:hAnsi="Verdana" w:cs="Times New Roman"/>
          <w:b/>
          <w:bCs/>
          <w:color w:val="222222"/>
          <w:sz w:val="21"/>
          <w:szCs w:val="21"/>
          <w:lang w:eastAsia="it-IT"/>
        </w:rPr>
        <w:t>oggetto di informazione:</w:t>
      </w:r>
      <w:r w:rsidRPr="006031B3">
        <w:rPr>
          <w:rFonts w:ascii="Verdana" w:eastAsia="Times New Roman" w:hAnsi="Verdana" w:cs="Times New Roman"/>
          <w:color w:val="222222"/>
          <w:sz w:val="21"/>
          <w:szCs w:val="21"/>
          <w:lang w:eastAsia="it-IT"/>
        </w:rPr>
        <w:br/>
        <w:t>• la proposta di </w:t>
      </w:r>
      <w:r w:rsidRPr="006031B3">
        <w:rPr>
          <w:rFonts w:ascii="Verdana" w:eastAsia="Times New Roman" w:hAnsi="Verdana" w:cs="Times New Roman"/>
          <w:b/>
          <w:bCs/>
          <w:color w:val="222222"/>
          <w:sz w:val="21"/>
          <w:szCs w:val="21"/>
          <w:lang w:eastAsia="it-IT"/>
        </w:rPr>
        <w:t>formazione delle classi e degli organici;</w:t>
      </w:r>
      <w:r w:rsidRPr="006031B3">
        <w:rPr>
          <w:rFonts w:ascii="Verdana" w:eastAsia="Times New Roman" w:hAnsi="Verdana" w:cs="Times New Roman"/>
          <w:color w:val="222222"/>
          <w:sz w:val="21"/>
          <w:szCs w:val="21"/>
          <w:lang w:eastAsia="it-IT"/>
        </w:rPr>
        <w:br/>
        <w:t>• i criteri di </w:t>
      </w:r>
      <w:r w:rsidRPr="006031B3">
        <w:rPr>
          <w:rFonts w:ascii="Verdana" w:eastAsia="Times New Roman" w:hAnsi="Verdana" w:cs="Times New Roman"/>
          <w:b/>
          <w:bCs/>
          <w:color w:val="222222"/>
          <w:sz w:val="21"/>
          <w:szCs w:val="21"/>
          <w:lang w:eastAsia="it-IT"/>
        </w:rPr>
        <w:t>attuazione dei progetti nazionali ed europei</w:t>
      </w:r>
      <w:r w:rsidRPr="006031B3">
        <w:rPr>
          <w:rFonts w:ascii="Verdana" w:eastAsia="Times New Roman" w:hAnsi="Verdana" w:cs="Times New Roman"/>
          <w:color w:val="222222"/>
          <w:sz w:val="21"/>
          <w:szCs w:val="21"/>
          <w:lang w:eastAsia="it-IT"/>
        </w:rPr>
        <w:br/>
        <w:t>• i dati relativi all’uti</w:t>
      </w:r>
      <w:r w:rsidRPr="006031B3">
        <w:rPr>
          <w:rFonts w:ascii="Verdana" w:eastAsia="Times New Roman" w:hAnsi="Verdana" w:cs="Times New Roman"/>
          <w:b/>
          <w:bCs/>
          <w:color w:val="222222"/>
          <w:sz w:val="21"/>
          <w:szCs w:val="21"/>
          <w:lang w:eastAsia="it-IT"/>
        </w:rPr>
        <w:t>lizzo delle risorse del fondo per il miglioramento dell’offerta formativa</w:t>
      </w:r>
      <w:r w:rsidRPr="006031B3">
        <w:rPr>
          <w:rFonts w:ascii="Verdana" w:eastAsia="Times New Roman" w:hAnsi="Verdana" w:cs="Times New Roman"/>
          <w:color w:val="222222"/>
          <w:sz w:val="21"/>
          <w:szCs w:val="21"/>
          <w:lang w:eastAsia="it-IT"/>
        </w:rPr>
        <w:t>. In merito a quest’ultimo punto va detto che nel comunicare le attività retribuite, l’importo erogato, il numero dei lavoratori coinvolti non deve essere possibile associare il compenso al nominativo del lavoratore che lo ha percepito.</w:t>
      </w:r>
    </w:p>
    <w:sectPr w:rsidR="00110D2C" w:rsidRPr="006031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B3"/>
    <w:rsid w:val="00110D2C"/>
    <w:rsid w:val="006031B3"/>
    <w:rsid w:val="009259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CE66"/>
  <w15:chartTrackingRefBased/>
  <w15:docId w15:val="{9CAE1488-394C-42C1-B887-6D81CE66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031B3"/>
    <w:rPr>
      <w:color w:val="0563C1" w:themeColor="hyperlink"/>
      <w:u w:val="single"/>
    </w:rPr>
  </w:style>
  <w:style w:type="character" w:styleId="Menzionenonrisolta">
    <w:name w:val="Unresolved Mention"/>
    <w:basedOn w:val="Carpredefinitoparagrafo"/>
    <w:uiPriority w:val="99"/>
    <w:semiHidden/>
    <w:unhideWhenUsed/>
    <w:rsid w:val="0060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3731">
      <w:bodyDiv w:val="1"/>
      <w:marLeft w:val="0"/>
      <w:marRight w:val="0"/>
      <w:marTop w:val="0"/>
      <w:marBottom w:val="0"/>
      <w:divBdr>
        <w:top w:val="none" w:sz="0" w:space="0" w:color="auto"/>
        <w:left w:val="none" w:sz="0" w:space="0" w:color="auto"/>
        <w:bottom w:val="none" w:sz="0" w:space="0" w:color="auto"/>
        <w:right w:val="none" w:sz="0" w:space="0" w:color="auto"/>
      </w:divBdr>
    </w:div>
    <w:div w:id="9299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SU@ICSAVINISANGIUSEPPESANGIORGI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2025-09-30T09:47:00Z</dcterms:created>
  <dcterms:modified xsi:type="dcterms:W3CDTF">2025-09-30T09:47:00Z</dcterms:modified>
</cp:coreProperties>
</file>